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32FE1" w14:textId="0291B11A" w:rsidR="008137A0" w:rsidRPr="0080044D" w:rsidRDefault="007539E6" w:rsidP="008137A0">
      <w:pPr>
        <w:rPr>
          <w:rFonts w:ascii="Arial" w:hAnsi="Arial" w:cs="Arial"/>
          <w:b/>
          <w:color w:val="31849B"/>
          <w:sz w:val="44"/>
          <w:szCs w:val="44"/>
          <w:lang w:val="es-ES"/>
        </w:rPr>
      </w:pPr>
      <w:r>
        <w:rPr>
          <w:rFonts w:ascii="Arial" w:hAnsi="Arial" w:cs="Arial"/>
          <w:b/>
          <w:color w:val="31849B"/>
          <w:sz w:val="44"/>
          <w:szCs w:val="44"/>
          <w:lang w:val="es-ES"/>
        </w:rPr>
        <w:t xml:space="preserve">   </w:t>
      </w:r>
      <w:r w:rsidR="00B75B66">
        <w:rPr>
          <w:rFonts w:ascii="Arial" w:hAnsi="Arial" w:cs="Arial"/>
          <w:b/>
          <w:color w:val="31849B"/>
          <w:sz w:val="44"/>
          <w:szCs w:val="44"/>
          <w:lang w:val="es-ES"/>
        </w:rPr>
        <w:t>BRAVECTO</w:t>
      </w:r>
      <w:r w:rsidR="008137A0">
        <w:rPr>
          <w:rFonts w:ascii="Arial" w:hAnsi="Arial" w:cs="Arial"/>
          <w:b/>
          <w:color w:val="31849B"/>
          <w:sz w:val="44"/>
          <w:szCs w:val="44"/>
          <w:lang w:val="es-ES"/>
        </w:rPr>
        <w:t xml:space="preserve"> </w:t>
      </w:r>
      <w:r w:rsidR="00701267">
        <w:rPr>
          <w:rFonts w:ascii="Arial" w:hAnsi="Arial" w:cs="Arial"/>
          <w:b/>
          <w:color w:val="31849B"/>
          <w:sz w:val="44"/>
          <w:szCs w:val="44"/>
          <w:lang w:val="es-ES"/>
        </w:rPr>
        <w:t>PLUS</w:t>
      </w:r>
      <w:r w:rsidR="00173BB0">
        <w:rPr>
          <w:rFonts w:ascii="Arial" w:hAnsi="Arial" w:cs="Arial"/>
          <w:b/>
          <w:color w:val="31849B"/>
          <w:sz w:val="44"/>
          <w:szCs w:val="44"/>
          <w:lang w:val="es-ES"/>
        </w:rPr>
        <w:t xml:space="preserve"> (Pipetas)</w:t>
      </w:r>
      <w:r w:rsidR="0022095A">
        <w:rPr>
          <w:rFonts w:ascii="Arial" w:hAnsi="Arial" w:cs="Arial"/>
          <w:b/>
          <w:color w:val="31849B"/>
          <w:sz w:val="44"/>
          <w:szCs w:val="44"/>
          <w:lang w:val="es-ES"/>
        </w:rPr>
        <w:t>.</w:t>
      </w:r>
      <w:r w:rsidR="003026DC">
        <w:rPr>
          <w:rFonts w:ascii="Arial" w:hAnsi="Arial" w:cs="Arial"/>
          <w:b/>
          <w:color w:val="31849B"/>
          <w:sz w:val="44"/>
          <w:szCs w:val="44"/>
          <w:lang w:val="es-ES"/>
        </w:rPr>
        <w:t xml:space="preserve"> </w:t>
      </w:r>
    </w:p>
    <w:p w14:paraId="6BF32FE2" w14:textId="77777777" w:rsidR="008137A0" w:rsidRPr="0080044D" w:rsidRDefault="008137A0" w:rsidP="008137A0">
      <w:pPr>
        <w:rPr>
          <w:rFonts w:ascii="Arial" w:hAnsi="Arial" w:cs="Arial"/>
          <w:b/>
          <w:color w:val="31849B"/>
          <w:sz w:val="36"/>
          <w:szCs w:val="36"/>
          <w:u w:val="single"/>
          <w:lang w:val="es-ES"/>
        </w:rPr>
      </w:pPr>
    </w:p>
    <w:p w14:paraId="6BF32FE3" w14:textId="77777777" w:rsidR="008137A0" w:rsidRPr="0080044D" w:rsidRDefault="008137A0" w:rsidP="008137A0">
      <w:pPr>
        <w:ind w:firstLine="360"/>
        <w:rPr>
          <w:rFonts w:ascii="Arial" w:hAnsi="Arial" w:cs="Arial"/>
          <w:b/>
          <w:color w:val="31849B"/>
          <w:sz w:val="36"/>
          <w:szCs w:val="36"/>
          <w:u w:val="single"/>
          <w:lang w:val="es-ES"/>
        </w:rPr>
      </w:pPr>
      <w:r w:rsidRPr="0080044D">
        <w:rPr>
          <w:rFonts w:ascii="Arial" w:hAnsi="Arial" w:cs="Arial"/>
          <w:b/>
          <w:color w:val="31849B"/>
          <w:sz w:val="36"/>
          <w:szCs w:val="36"/>
          <w:u w:val="single"/>
          <w:lang w:val="es-ES"/>
        </w:rPr>
        <w:t>Ficha técnica</w:t>
      </w:r>
    </w:p>
    <w:p w14:paraId="6BF32FE4" w14:textId="77777777" w:rsidR="008137A0" w:rsidRDefault="008137A0" w:rsidP="00E13D36">
      <w:pPr>
        <w:ind w:left="360"/>
        <w:jc w:val="both"/>
        <w:rPr>
          <w:rFonts w:ascii="Arial" w:hAnsi="Arial" w:cs="Arial"/>
          <w:b/>
          <w:bCs/>
          <w:color w:val="000000"/>
          <w:lang w:val="es-ES"/>
        </w:rPr>
      </w:pPr>
    </w:p>
    <w:p w14:paraId="6D2BA4AA" w14:textId="77777777" w:rsidR="00BC2567" w:rsidRPr="00D149FE" w:rsidRDefault="00BC2567" w:rsidP="00BC2567">
      <w:pPr>
        <w:ind w:left="360"/>
        <w:jc w:val="both"/>
        <w:rPr>
          <w:rFonts w:ascii="Arial" w:hAnsi="Arial" w:cs="Arial"/>
          <w:b/>
          <w:color w:val="000000"/>
          <w:lang w:val="es-ES"/>
        </w:rPr>
      </w:pPr>
      <w:r w:rsidRPr="00D149FE">
        <w:rPr>
          <w:rFonts w:ascii="Arial" w:hAnsi="Arial" w:cs="Arial"/>
          <w:b/>
          <w:color w:val="000000"/>
          <w:lang w:val="es-ES"/>
        </w:rPr>
        <w:t>Solución tópica para gatos</w:t>
      </w:r>
    </w:p>
    <w:p w14:paraId="3E590844" w14:textId="00ABF780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 xml:space="preserve">Antiparasitario </w:t>
      </w:r>
      <w:r w:rsidR="00452BE0">
        <w:rPr>
          <w:rFonts w:ascii="Arial" w:hAnsi="Arial" w:cs="Arial"/>
          <w:color w:val="000000"/>
          <w:lang w:val="es-ES"/>
        </w:rPr>
        <w:t>e</w:t>
      </w:r>
      <w:r w:rsidRPr="00BC2567">
        <w:rPr>
          <w:rFonts w:ascii="Arial" w:hAnsi="Arial" w:cs="Arial"/>
          <w:color w:val="000000"/>
          <w:lang w:val="es-ES"/>
        </w:rPr>
        <w:t>xterno de acción sistémica</w:t>
      </w:r>
    </w:p>
    <w:p w14:paraId="76F8369C" w14:textId="77777777" w:rsidR="00D149FE" w:rsidRDefault="00D149FE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</w:p>
    <w:p w14:paraId="789EF1F1" w14:textId="7E88DDC8" w:rsidR="00BC2567" w:rsidRPr="00D149FE" w:rsidRDefault="00BC2567" w:rsidP="00BC2567">
      <w:pPr>
        <w:ind w:left="360"/>
        <w:jc w:val="both"/>
        <w:rPr>
          <w:rFonts w:ascii="Arial" w:hAnsi="Arial" w:cs="Arial"/>
          <w:b/>
          <w:color w:val="000000"/>
          <w:lang w:val="es-ES"/>
        </w:rPr>
      </w:pPr>
      <w:r w:rsidRPr="00D149FE">
        <w:rPr>
          <w:rFonts w:ascii="Arial" w:hAnsi="Arial" w:cs="Arial"/>
          <w:b/>
          <w:color w:val="000000"/>
          <w:lang w:val="es-ES"/>
        </w:rPr>
        <w:t>Sustancias activas:</w:t>
      </w:r>
    </w:p>
    <w:p w14:paraId="2028EE7B" w14:textId="1AFE1DD1" w:rsidR="002C445B" w:rsidRDefault="002C445B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 xml:space="preserve">Fluralaner </w:t>
      </w:r>
      <w:r w:rsidR="00D149FE">
        <w:rPr>
          <w:rFonts w:ascii="Arial" w:hAnsi="Arial" w:cs="Arial"/>
          <w:color w:val="000000"/>
          <w:lang w:val="es-ES"/>
        </w:rPr>
        <w:tab/>
      </w:r>
      <w:r w:rsidR="00D149FE">
        <w:rPr>
          <w:rFonts w:ascii="Arial" w:hAnsi="Arial" w:cs="Arial"/>
          <w:color w:val="000000"/>
          <w:lang w:val="es-ES"/>
        </w:rPr>
        <w:tab/>
      </w:r>
      <w:r w:rsidR="00BC2567" w:rsidRPr="00BC2567">
        <w:rPr>
          <w:rFonts w:ascii="Arial" w:hAnsi="Arial" w:cs="Arial"/>
          <w:color w:val="000000"/>
          <w:lang w:val="es-ES"/>
        </w:rPr>
        <w:t xml:space="preserve">280 mg </w:t>
      </w:r>
    </w:p>
    <w:p w14:paraId="04B49135" w14:textId="7D410383" w:rsidR="00BC2567" w:rsidRDefault="002C445B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>Moxi</w:t>
      </w:r>
      <w:r w:rsidR="00BC2567" w:rsidRPr="00BC2567">
        <w:rPr>
          <w:rFonts w:ascii="Arial" w:hAnsi="Arial" w:cs="Arial"/>
          <w:color w:val="000000"/>
          <w:lang w:val="es-ES"/>
        </w:rPr>
        <w:t>dectina.</w:t>
      </w:r>
      <w:r>
        <w:rPr>
          <w:rFonts w:ascii="Arial" w:hAnsi="Arial" w:cs="Arial"/>
          <w:color w:val="000000"/>
          <w:lang w:val="es-ES"/>
        </w:rPr>
        <w:t xml:space="preserve"> </w:t>
      </w:r>
      <w:r w:rsidR="00D149FE">
        <w:rPr>
          <w:rFonts w:ascii="Arial" w:hAnsi="Arial" w:cs="Arial"/>
          <w:color w:val="000000"/>
          <w:lang w:val="es-ES"/>
        </w:rPr>
        <w:tab/>
      </w:r>
      <w:r w:rsidR="00D149FE">
        <w:rPr>
          <w:rFonts w:ascii="Arial" w:hAnsi="Arial" w:cs="Arial"/>
          <w:color w:val="000000"/>
          <w:lang w:val="es-ES"/>
        </w:rPr>
        <w:tab/>
      </w:r>
      <w:r w:rsidR="003139FF">
        <w:rPr>
          <w:rFonts w:ascii="Arial" w:hAnsi="Arial" w:cs="Arial"/>
          <w:color w:val="000000"/>
          <w:lang w:val="es-ES"/>
        </w:rPr>
        <w:t>1</w:t>
      </w:r>
      <w:r>
        <w:rPr>
          <w:rFonts w:ascii="Arial" w:hAnsi="Arial" w:cs="Arial"/>
          <w:color w:val="000000"/>
          <w:lang w:val="es-ES"/>
        </w:rPr>
        <w:t>4 mg.</w:t>
      </w:r>
    </w:p>
    <w:p w14:paraId="581B6E03" w14:textId="74C85FF0" w:rsidR="002C445B" w:rsidRPr="00BC2567" w:rsidRDefault="002C445B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 xml:space="preserve">Excipientes </w:t>
      </w:r>
      <w:r w:rsidRPr="0097632A">
        <w:rPr>
          <w:rFonts w:ascii="Arial" w:hAnsi="Arial" w:cs="Arial"/>
          <w:i/>
          <w:color w:val="000000"/>
          <w:lang w:val="es-ES"/>
        </w:rPr>
        <w:t>c</w:t>
      </w:r>
      <w:r w:rsidR="00D149FE" w:rsidRPr="0097632A">
        <w:rPr>
          <w:rFonts w:ascii="Arial" w:hAnsi="Arial" w:cs="Arial"/>
          <w:i/>
          <w:color w:val="000000"/>
          <w:lang w:val="es-ES"/>
        </w:rPr>
        <w:t>.</w:t>
      </w:r>
      <w:r w:rsidRPr="0097632A">
        <w:rPr>
          <w:rFonts w:ascii="Arial" w:hAnsi="Arial" w:cs="Arial"/>
          <w:i/>
          <w:color w:val="000000"/>
          <w:lang w:val="es-ES"/>
        </w:rPr>
        <w:t>s</w:t>
      </w:r>
      <w:r w:rsidR="00D149FE" w:rsidRPr="0097632A">
        <w:rPr>
          <w:rFonts w:ascii="Arial" w:hAnsi="Arial" w:cs="Arial"/>
          <w:i/>
          <w:color w:val="000000"/>
          <w:lang w:val="es-ES"/>
        </w:rPr>
        <w:t>.</w:t>
      </w:r>
      <w:r w:rsidRPr="0097632A">
        <w:rPr>
          <w:rFonts w:ascii="Arial" w:hAnsi="Arial" w:cs="Arial"/>
          <w:i/>
          <w:color w:val="000000"/>
          <w:lang w:val="es-ES"/>
        </w:rPr>
        <w:t>p</w:t>
      </w:r>
      <w:r w:rsidR="00D149FE" w:rsidRPr="0097632A">
        <w:rPr>
          <w:rFonts w:ascii="Arial" w:hAnsi="Arial" w:cs="Arial"/>
          <w:i/>
          <w:color w:val="000000"/>
          <w:lang w:val="es-ES"/>
        </w:rPr>
        <w:t>.</w:t>
      </w:r>
      <w:r>
        <w:rPr>
          <w:rFonts w:ascii="Arial" w:hAnsi="Arial" w:cs="Arial"/>
          <w:color w:val="000000"/>
          <w:lang w:val="es-ES"/>
        </w:rPr>
        <w:t xml:space="preserve"> </w:t>
      </w:r>
      <w:r w:rsidR="00D149FE">
        <w:rPr>
          <w:rFonts w:ascii="Arial" w:hAnsi="Arial" w:cs="Arial"/>
          <w:color w:val="000000"/>
          <w:lang w:val="es-ES"/>
        </w:rPr>
        <w:tab/>
        <w:t xml:space="preserve">1 ml. </w:t>
      </w:r>
    </w:p>
    <w:p w14:paraId="7E0942BC" w14:textId="77777777" w:rsidR="00D036BE" w:rsidRDefault="00D036BE" w:rsidP="00D036BE">
      <w:pPr>
        <w:ind w:left="360"/>
        <w:jc w:val="both"/>
        <w:rPr>
          <w:rFonts w:ascii="Arial" w:hAnsi="Arial" w:cs="Arial"/>
          <w:color w:val="000000"/>
          <w:lang w:val="es-ES"/>
        </w:rPr>
      </w:pPr>
    </w:p>
    <w:p w14:paraId="4CDF299D" w14:textId="4349B749" w:rsidR="00D036BE" w:rsidRDefault="00BC2567" w:rsidP="00D036BE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Cada pipeta libera:</w:t>
      </w:r>
    </w:p>
    <w:p w14:paraId="076CB934" w14:textId="245E41B0" w:rsidR="00D036BE" w:rsidRDefault="00D036BE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>
        <w:rPr>
          <w:noProof/>
        </w:rPr>
        <w:drawing>
          <wp:inline distT="0" distB="0" distL="0" distR="0" wp14:anchorId="4F0AC10C" wp14:editId="73CA91A0">
            <wp:extent cx="4019550" cy="1921368"/>
            <wp:effectExtent l="0" t="0" r="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62159" cy="194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B9DD8" w14:textId="3182F138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Solución tópica.</w:t>
      </w:r>
    </w:p>
    <w:p w14:paraId="0573328D" w14:textId="77777777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Solución translúcida de incolora a amarillenta.</w:t>
      </w:r>
    </w:p>
    <w:p w14:paraId="393745AF" w14:textId="77777777" w:rsidR="00BC2567" w:rsidRDefault="00BC2567" w:rsidP="00BC2567">
      <w:pPr>
        <w:ind w:left="360"/>
        <w:jc w:val="both"/>
        <w:rPr>
          <w:rFonts w:ascii="Arial" w:hAnsi="Arial" w:cs="Arial"/>
          <w:b/>
          <w:color w:val="000000"/>
          <w:lang w:val="es-ES"/>
        </w:rPr>
      </w:pPr>
    </w:p>
    <w:p w14:paraId="2F66FED9" w14:textId="3552814D" w:rsidR="00BC2567" w:rsidRPr="00BC2567" w:rsidRDefault="00BC2567" w:rsidP="00BC2567">
      <w:pPr>
        <w:ind w:left="360"/>
        <w:jc w:val="both"/>
        <w:rPr>
          <w:rFonts w:ascii="Arial" w:hAnsi="Arial" w:cs="Arial"/>
          <w:b/>
          <w:color w:val="000000"/>
          <w:lang w:val="es-ES"/>
        </w:rPr>
      </w:pPr>
      <w:r w:rsidRPr="00BC2567">
        <w:rPr>
          <w:rFonts w:ascii="Arial" w:hAnsi="Arial" w:cs="Arial"/>
          <w:b/>
          <w:color w:val="000000"/>
          <w:lang w:val="es-ES"/>
        </w:rPr>
        <w:t xml:space="preserve">Indicaciones </w:t>
      </w:r>
    </w:p>
    <w:p w14:paraId="4588ABD1" w14:textId="5F72C310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Para gatos con o en riesgo de sufrir la infestación parasitaria mixta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de pulgas</w:t>
      </w:r>
      <w:r w:rsidR="00452BE0">
        <w:rPr>
          <w:rFonts w:ascii="Arial" w:hAnsi="Arial" w:cs="Arial"/>
          <w:color w:val="000000"/>
          <w:lang w:val="es-ES"/>
        </w:rPr>
        <w:t>,</w:t>
      </w:r>
      <w:r w:rsidRPr="00BC2567">
        <w:rPr>
          <w:rFonts w:ascii="Arial" w:hAnsi="Arial" w:cs="Arial"/>
          <w:color w:val="000000"/>
          <w:lang w:val="es-ES"/>
        </w:rPr>
        <w:t xml:space="preserve"> garrapatas, nematodos gastrointestinales (larvas de 4ta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 xml:space="preserve">etapa, adultos inmaduros y adultos de </w:t>
      </w:r>
      <w:r w:rsidRPr="00BC2567">
        <w:rPr>
          <w:rFonts w:ascii="Arial" w:hAnsi="Arial" w:cs="Arial"/>
          <w:i/>
          <w:color w:val="000000"/>
          <w:lang w:val="es-ES"/>
        </w:rPr>
        <w:t>Toxocara cati y Ancylostoma tubaeforme</w:t>
      </w:r>
      <w:r w:rsidRPr="00BC2567">
        <w:rPr>
          <w:rFonts w:ascii="Arial" w:hAnsi="Arial" w:cs="Arial"/>
          <w:color w:val="000000"/>
          <w:lang w:val="es-ES"/>
        </w:rPr>
        <w:t>) o gusanos del corazón. Este medicamento de uso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veterinario se prescribe exclusivamente cuando su uso contra pulgas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o garrapatas y uno o más de los otros parásitos objetivo está indicado</w:t>
      </w:r>
    </w:p>
    <w:p w14:paraId="27344958" w14:textId="77777777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al mismo tiempo.</w:t>
      </w:r>
    </w:p>
    <w:p w14:paraId="48AA38B4" w14:textId="364BB13B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Para el tratamiento de infestaciones de pulgas y garrapatas en gatos,</w:t>
      </w:r>
      <w:r w:rsidR="00D149FE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proporcionando una actividad persistente e inmediata que mata a las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pulgas (</w:t>
      </w:r>
      <w:r w:rsidRPr="00BC2567">
        <w:rPr>
          <w:rFonts w:ascii="Arial" w:hAnsi="Arial" w:cs="Arial"/>
          <w:i/>
          <w:color w:val="000000"/>
          <w:lang w:val="es-ES"/>
        </w:rPr>
        <w:t>Ctenocephalides felis</w:t>
      </w:r>
      <w:r w:rsidRPr="00BC2567">
        <w:rPr>
          <w:rFonts w:ascii="Arial" w:hAnsi="Arial" w:cs="Arial"/>
          <w:color w:val="000000"/>
          <w:lang w:val="es-ES"/>
        </w:rPr>
        <w:t>) y garrapatas (</w:t>
      </w:r>
      <w:r w:rsidRPr="00BC2567">
        <w:rPr>
          <w:rFonts w:ascii="Arial" w:hAnsi="Arial" w:cs="Arial"/>
          <w:i/>
          <w:color w:val="000000"/>
          <w:lang w:val="es-ES"/>
        </w:rPr>
        <w:t>Ixodes ricinus, Ixodes scapularis</w:t>
      </w:r>
      <w:r w:rsidRPr="00BC2567">
        <w:rPr>
          <w:rFonts w:ascii="Arial" w:hAnsi="Arial" w:cs="Arial"/>
          <w:color w:val="000000"/>
          <w:lang w:val="es-ES"/>
        </w:rPr>
        <w:t>) por 12 semanas.</w:t>
      </w:r>
    </w:p>
    <w:p w14:paraId="61F75273" w14:textId="0AA3EC53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Las pulgas y garrapatas deben estar adheridas al huésped y comenzar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a alimentarse para quedar expuestas a la sustancia activa.</w:t>
      </w:r>
    </w:p>
    <w:p w14:paraId="6822F5F1" w14:textId="31ED8193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 xml:space="preserve">Para el tratamiento de infestaciones de </w:t>
      </w:r>
      <w:r w:rsidRPr="00634621">
        <w:rPr>
          <w:rFonts w:ascii="Arial" w:hAnsi="Arial" w:cs="Arial"/>
          <w:i/>
          <w:color w:val="000000"/>
          <w:lang w:val="es-ES"/>
        </w:rPr>
        <w:t>Otodectes cynotis</w:t>
      </w:r>
      <w:r w:rsidR="0074727B">
        <w:rPr>
          <w:rFonts w:ascii="Arial" w:hAnsi="Arial" w:cs="Arial"/>
          <w:color w:val="000000"/>
          <w:lang w:val="es-ES"/>
        </w:rPr>
        <w:t>, acaro del oído.</w:t>
      </w:r>
    </w:p>
    <w:p w14:paraId="23270959" w14:textId="32776368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lastRenderedPageBreak/>
        <w:t>Para la prevención de la enfermedad del gusano del corazón causada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 xml:space="preserve">por la </w:t>
      </w:r>
      <w:r w:rsidRPr="00BC2567">
        <w:rPr>
          <w:rFonts w:ascii="Arial" w:hAnsi="Arial" w:cs="Arial"/>
          <w:i/>
          <w:color w:val="000000"/>
          <w:lang w:val="es-ES"/>
        </w:rPr>
        <w:t>Dirofilaria immitis</w:t>
      </w:r>
      <w:r w:rsidRPr="00BC2567">
        <w:rPr>
          <w:rFonts w:ascii="Arial" w:hAnsi="Arial" w:cs="Arial"/>
          <w:color w:val="000000"/>
          <w:lang w:val="es-ES"/>
        </w:rPr>
        <w:t xml:space="preserve"> durante 12 semanas.</w:t>
      </w:r>
    </w:p>
    <w:p w14:paraId="444AE466" w14:textId="1ED9434A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El producto se puede usar como parte de una estrategia para el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tratamiento de la dermatitis alérgica causada por picadura de pulga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(DAPP).</w:t>
      </w:r>
    </w:p>
    <w:p w14:paraId="19233CF0" w14:textId="77777777" w:rsid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</w:p>
    <w:p w14:paraId="0828ECB5" w14:textId="29F089E3" w:rsidR="00BC2567" w:rsidRPr="00BC2567" w:rsidRDefault="00BC2567" w:rsidP="00BC2567">
      <w:pPr>
        <w:ind w:left="360"/>
        <w:jc w:val="both"/>
        <w:rPr>
          <w:rFonts w:ascii="Arial" w:hAnsi="Arial" w:cs="Arial"/>
          <w:b/>
          <w:color w:val="000000"/>
          <w:lang w:val="es-ES"/>
        </w:rPr>
      </w:pPr>
      <w:r w:rsidRPr="00BC2567">
        <w:rPr>
          <w:rFonts w:ascii="Arial" w:hAnsi="Arial" w:cs="Arial"/>
          <w:b/>
          <w:color w:val="000000"/>
          <w:lang w:val="es-ES"/>
        </w:rPr>
        <w:t>Contraindicaciones</w:t>
      </w:r>
    </w:p>
    <w:p w14:paraId="14B8368C" w14:textId="4F5F3A05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No se use en caso de hipersensibilidad a la substancia activa o a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cualquiera de los excipientes.</w:t>
      </w:r>
    </w:p>
    <w:p w14:paraId="5C9938B7" w14:textId="77777777" w:rsid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</w:p>
    <w:p w14:paraId="7A115A7E" w14:textId="6E5B85A9" w:rsidR="00BC2567" w:rsidRPr="00BC2567" w:rsidRDefault="00BC2567" w:rsidP="00BC2567">
      <w:pPr>
        <w:ind w:left="360"/>
        <w:jc w:val="both"/>
        <w:rPr>
          <w:rFonts w:ascii="Arial" w:hAnsi="Arial" w:cs="Arial"/>
          <w:b/>
          <w:color w:val="000000"/>
          <w:lang w:val="es-ES"/>
        </w:rPr>
      </w:pPr>
      <w:r w:rsidRPr="00BC2567">
        <w:rPr>
          <w:rFonts w:ascii="Arial" w:hAnsi="Arial" w:cs="Arial"/>
          <w:b/>
          <w:color w:val="000000"/>
          <w:lang w:val="es-ES"/>
        </w:rPr>
        <w:t>Reacciones adversas</w:t>
      </w:r>
    </w:p>
    <w:p w14:paraId="1E62FF7A" w14:textId="1C98A702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Durante las pruebas clínicas se observaron reacciones leves y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transitorias de la piel en el sitio de aplicación (alopecia, descamación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de la piel y pruritos) en el 2.9% de los gatos tratados.</w:t>
      </w:r>
    </w:p>
    <w:p w14:paraId="44266D31" w14:textId="218B751F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También se observaron las siguientes reacciones adversas durante las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pruebas clínicas poco tiempo después de la administración del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producto: disnea después de lamerse en el sitio de aplicación,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hematemesis, diarrea, letargo, hipersalivación, pirexia, taquipnea,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midriasis (0.1% de los gatos tratados).</w:t>
      </w:r>
    </w:p>
    <w:p w14:paraId="25B05861" w14:textId="0439B372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Si usted observa algún efecto grave u otros efectos no mencionados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en este prospecto, por favor informe a su médico veterinario.</w:t>
      </w:r>
    </w:p>
    <w:p w14:paraId="5AAED245" w14:textId="77777777" w:rsid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</w:p>
    <w:p w14:paraId="793B4D10" w14:textId="737E6486" w:rsidR="00BC2567" w:rsidRPr="00BC2567" w:rsidRDefault="00BC2567" w:rsidP="00BC2567">
      <w:pPr>
        <w:ind w:left="360"/>
        <w:jc w:val="both"/>
        <w:rPr>
          <w:rFonts w:ascii="Arial" w:hAnsi="Arial" w:cs="Arial"/>
          <w:b/>
          <w:color w:val="000000"/>
          <w:lang w:val="es-ES"/>
        </w:rPr>
      </w:pPr>
      <w:r w:rsidRPr="00BC2567">
        <w:rPr>
          <w:rFonts w:ascii="Arial" w:hAnsi="Arial" w:cs="Arial"/>
          <w:b/>
          <w:color w:val="000000"/>
          <w:lang w:val="es-ES"/>
        </w:rPr>
        <w:t>Especies de destino</w:t>
      </w:r>
    </w:p>
    <w:p w14:paraId="7308581E" w14:textId="77777777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Gatos.</w:t>
      </w:r>
    </w:p>
    <w:p w14:paraId="77782C39" w14:textId="77777777" w:rsid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</w:p>
    <w:p w14:paraId="2C3DED05" w14:textId="77CDE431" w:rsidR="00BC2567" w:rsidRPr="00121CAA" w:rsidRDefault="00BC2567" w:rsidP="00BC2567">
      <w:pPr>
        <w:ind w:left="360"/>
        <w:jc w:val="both"/>
        <w:rPr>
          <w:rFonts w:ascii="Arial" w:hAnsi="Arial" w:cs="Arial"/>
          <w:b/>
          <w:color w:val="000000"/>
          <w:lang w:val="es-ES"/>
        </w:rPr>
      </w:pPr>
      <w:r w:rsidRPr="00121CAA">
        <w:rPr>
          <w:rFonts w:ascii="Arial" w:hAnsi="Arial" w:cs="Arial"/>
          <w:b/>
          <w:color w:val="000000"/>
          <w:lang w:val="es-ES"/>
        </w:rPr>
        <w:t>D</w:t>
      </w:r>
      <w:r w:rsidR="00121CAA" w:rsidRPr="00121CAA">
        <w:rPr>
          <w:rFonts w:ascii="Arial" w:hAnsi="Arial" w:cs="Arial"/>
          <w:b/>
          <w:color w:val="000000"/>
          <w:lang w:val="es-ES"/>
        </w:rPr>
        <w:t>osis para cada especie, vías y métodos de administración.</w:t>
      </w:r>
    </w:p>
    <w:p w14:paraId="20FEFC42" w14:textId="77777777" w:rsidR="00121CAA" w:rsidRDefault="00121CAA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</w:p>
    <w:p w14:paraId="5EBAADC9" w14:textId="30B814B4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Para uso tópico.</w:t>
      </w:r>
    </w:p>
    <w:p w14:paraId="3AA9D11C" w14:textId="77777777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Bravecto Plus solución tópica está disponible en tres presentaciones.</w:t>
      </w:r>
    </w:p>
    <w:p w14:paraId="5F9FBD9E" w14:textId="781D3CCB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La siguiente tabla define el tamaño de la pipeta que se debe usar de</w:t>
      </w:r>
      <w:r w:rsidR="00121CAA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acuerdo con el peso corporal del gato (correspondiente a una dosis de</w:t>
      </w:r>
      <w:r w:rsidR="00121CAA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40-94 mg fluralaner/kg de peso corporal y 2-4.7 moxidectina/kg de</w:t>
      </w:r>
      <w:r w:rsidR="00121CAA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peso corporal):</w:t>
      </w:r>
    </w:p>
    <w:p w14:paraId="3AB8C7DB" w14:textId="77777777" w:rsidR="00D149FE" w:rsidRDefault="00D149FE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</w:p>
    <w:p w14:paraId="3E937591" w14:textId="77777777" w:rsidR="00D149FE" w:rsidRDefault="00D149FE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</w:p>
    <w:p w14:paraId="627CDE60" w14:textId="6E1C71F7" w:rsidR="00D149FE" w:rsidRDefault="00D149FE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>
        <w:rPr>
          <w:noProof/>
        </w:rPr>
        <w:drawing>
          <wp:inline distT="0" distB="0" distL="0" distR="0" wp14:anchorId="544D03AB" wp14:editId="37D21265">
            <wp:extent cx="4349393" cy="181927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66695" cy="1826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DB14D" w14:textId="77777777" w:rsidR="00D149FE" w:rsidRDefault="00D149FE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</w:p>
    <w:p w14:paraId="1B61CF85" w14:textId="59370A13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Dentro de cada rango de peso deberá usarse el contenido de toda la</w:t>
      </w:r>
      <w:r w:rsidR="00121CAA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pipeta.</w:t>
      </w:r>
    </w:p>
    <w:p w14:paraId="781C584A" w14:textId="33BDED3B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Para gatos de más de 12.5 kg, use una combinación de dos pipetas</w:t>
      </w:r>
      <w:r w:rsidR="00121CAA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que se ajuste lo más posible a su peso corporal.</w:t>
      </w:r>
    </w:p>
    <w:p w14:paraId="0852FE1E" w14:textId="77777777" w:rsidR="00D149FE" w:rsidRDefault="00D149FE" w:rsidP="00BC2567">
      <w:pPr>
        <w:ind w:left="360"/>
        <w:jc w:val="both"/>
        <w:rPr>
          <w:rFonts w:ascii="Arial" w:hAnsi="Arial" w:cs="Arial"/>
          <w:b/>
          <w:color w:val="000000"/>
          <w:lang w:val="es-ES"/>
        </w:rPr>
      </w:pPr>
    </w:p>
    <w:p w14:paraId="7274087D" w14:textId="5228F52F" w:rsidR="00BC2567" w:rsidRPr="00D149FE" w:rsidRDefault="00BC2567" w:rsidP="00BC2567">
      <w:pPr>
        <w:ind w:left="360"/>
        <w:jc w:val="both"/>
        <w:rPr>
          <w:rFonts w:ascii="Arial" w:hAnsi="Arial" w:cs="Arial"/>
          <w:b/>
          <w:color w:val="000000"/>
          <w:lang w:val="es-ES"/>
        </w:rPr>
      </w:pPr>
      <w:r w:rsidRPr="00D149FE">
        <w:rPr>
          <w:rFonts w:ascii="Arial" w:hAnsi="Arial" w:cs="Arial"/>
          <w:b/>
          <w:color w:val="000000"/>
          <w:lang w:val="es-ES"/>
        </w:rPr>
        <w:t>Vía de administración:</w:t>
      </w:r>
    </w:p>
    <w:p w14:paraId="0D22FC05" w14:textId="77777777" w:rsidR="00D149FE" w:rsidRDefault="00D149FE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</w:p>
    <w:p w14:paraId="1429746E" w14:textId="36E51352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Paso 1: Inmediatamente antes de</w:t>
      </w:r>
      <w:r w:rsidR="00D149FE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usarlo, abra el empaque y saque</w:t>
      </w:r>
      <w:r w:rsidR="00D149FE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la pipeta. Para abrir la pipeta ésta</w:t>
      </w:r>
      <w:r w:rsidR="00D149FE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deberá sujetarse por la base o por</w:t>
      </w:r>
      <w:r w:rsidR="00D149FE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la parte superior rígida debajo de</w:t>
      </w:r>
      <w:r w:rsidR="00D149FE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la tapa en posición vertical (con</w:t>
      </w:r>
      <w:r w:rsidR="00D149FE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la punta hacia arriba). La tapa</w:t>
      </w:r>
      <w:r w:rsidR="00D149FE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deberá girarse en el sentido de las</w:t>
      </w:r>
      <w:r w:rsidR="00D149FE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manecillas del reloj o en sentido contrario</w:t>
      </w:r>
      <w:r w:rsidR="00D149FE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una vuelta completa. La tapa quedará sujeta</w:t>
      </w:r>
      <w:r w:rsidR="00D149FE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a la pipeta, pues no es posible desprenderla.</w:t>
      </w:r>
    </w:p>
    <w:p w14:paraId="448005C2" w14:textId="07D5F7DA" w:rsid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La pipeta estará abierta y lista para usarse</w:t>
      </w:r>
      <w:r w:rsidR="00D149FE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cuando sienta que el sello se ha roto.</w:t>
      </w:r>
    </w:p>
    <w:p w14:paraId="36922A88" w14:textId="77777777" w:rsidR="005821DB" w:rsidRPr="00BC2567" w:rsidRDefault="005821DB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</w:p>
    <w:p w14:paraId="5E75FB3A" w14:textId="163F2E0D" w:rsidR="00D149FE" w:rsidRDefault="00D149FE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>
        <w:rPr>
          <w:noProof/>
        </w:rPr>
        <w:drawing>
          <wp:inline distT="0" distB="0" distL="0" distR="0" wp14:anchorId="10D6644B" wp14:editId="04A6D95E">
            <wp:extent cx="2952750" cy="1345141"/>
            <wp:effectExtent l="0" t="0" r="0" b="76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88235" cy="1361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2416E" w14:textId="77777777" w:rsidR="00D149FE" w:rsidRDefault="00D149FE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</w:p>
    <w:p w14:paraId="377FB5E5" w14:textId="6F9C9879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Paso 2: El gato deberá estar de pie o echado</w:t>
      </w:r>
      <w:r w:rsidR="00D149FE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con la espalda en posición horizontal para una fácil aplicación.</w:t>
      </w:r>
    </w:p>
    <w:p w14:paraId="3971E2BD" w14:textId="77777777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Coloque la punta de la pipeta en la base del cráneo del gato.</w:t>
      </w:r>
    </w:p>
    <w:p w14:paraId="7408F16F" w14:textId="3E874B9B" w:rsidR="00D149FE" w:rsidRDefault="00D149FE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</w:p>
    <w:p w14:paraId="676C5FBC" w14:textId="61CC3D8F" w:rsidR="00D149FE" w:rsidRDefault="00D149FE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>
        <w:rPr>
          <w:noProof/>
        </w:rPr>
        <w:drawing>
          <wp:inline distT="0" distB="0" distL="0" distR="0" wp14:anchorId="73628577" wp14:editId="6D0839C1">
            <wp:extent cx="1771650" cy="1725028"/>
            <wp:effectExtent l="0" t="0" r="0" b="889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80665" cy="1733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0F004" w14:textId="266CE729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Paso 3: Apriete suavemente la pipeta y aplique todo el contenido</w:t>
      </w:r>
      <w:r w:rsidR="00D149FE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directamente en la piel del gato. El producto se deberá aplicar a gatos</w:t>
      </w:r>
      <w:r w:rsidR="00D149FE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de hasta 6.25 kg de peso en un solo punto en la base del cráneo y en</w:t>
      </w:r>
      <w:r w:rsidR="00D149FE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dos puntos en la base del cráneo en gatos que tengan un peso</w:t>
      </w:r>
      <w:r w:rsidR="00D149FE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corporal de más de 6.25 kg.</w:t>
      </w:r>
    </w:p>
    <w:p w14:paraId="7F947C1C" w14:textId="77777777" w:rsid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</w:p>
    <w:p w14:paraId="39D48206" w14:textId="67CD5C91" w:rsidR="00BC2567" w:rsidRPr="00BC2567" w:rsidRDefault="00BC2567" w:rsidP="00BC2567">
      <w:pPr>
        <w:ind w:left="360"/>
        <w:jc w:val="both"/>
        <w:rPr>
          <w:rFonts w:ascii="Arial" w:hAnsi="Arial" w:cs="Arial"/>
          <w:b/>
          <w:color w:val="000000"/>
          <w:lang w:val="es-ES"/>
        </w:rPr>
      </w:pPr>
      <w:r w:rsidRPr="00BC2567">
        <w:rPr>
          <w:rFonts w:ascii="Arial" w:hAnsi="Arial" w:cs="Arial"/>
          <w:b/>
          <w:color w:val="000000"/>
          <w:lang w:val="es-ES"/>
        </w:rPr>
        <w:lastRenderedPageBreak/>
        <w:t xml:space="preserve">Consejos para la administración correcta </w:t>
      </w:r>
    </w:p>
    <w:p w14:paraId="288CFF57" w14:textId="77777777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Esquema de tratamiento:</w:t>
      </w:r>
    </w:p>
    <w:p w14:paraId="7C8B4417" w14:textId="20EFEBA2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Para un control óptimo de la infestación de pulgas y garrapatas, y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para la prevención de la enfermedad del gusano del corazón, el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producto deberá administrarse a intervalos de 12 semanas.</w:t>
      </w:r>
    </w:p>
    <w:p w14:paraId="34161CCA" w14:textId="2C7439F9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Los gatitos menores de seis meses de edad deberán pesarse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regularmente. El tratamiento deberá ser ajustado por un veterinario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de acuerdo con los cambios individuales de peso y, a partir de los seis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meses de edad, los gatos deberán ser tratados a intervalos de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12 semanas.</w:t>
      </w:r>
    </w:p>
    <w:p w14:paraId="7D1FEB38" w14:textId="53CE8D2D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Los gatos que viven en áreas endémicas de gusano del corazón o que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han viajado a dichas áreas pueden estar infectados con gusanos del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corazón adultos. Por lo tanto, antes de la aplicación de Bravecto Plus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 xml:space="preserve">para la prevención concurrente de la infección de </w:t>
      </w:r>
      <w:r w:rsidRPr="00BC2567">
        <w:rPr>
          <w:rFonts w:ascii="Arial" w:hAnsi="Arial" w:cs="Arial"/>
          <w:i/>
          <w:color w:val="000000"/>
          <w:lang w:val="es-ES"/>
        </w:rPr>
        <w:t>D. immitis</w:t>
      </w:r>
      <w:r w:rsidRPr="00BC2567">
        <w:rPr>
          <w:rFonts w:ascii="Arial" w:hAnsi="Arial" w:cs="Arial"/>
          <w:color w:val="000000"/>
          <w:lang w:val="es-ES"/>
        </w:rPr>
        <w:t xml:space="preserve"> adultos,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 xml:space="preserve">deberá tomarse en consideración la recomendación </w:t>
      </w:r>
      <w:r w:rsidR="00634621">
        <w:rPr>
          <w:rFonts w:ascii="Arial" w:hAnsi="Arial" w:cs="Arial"/>
          <w:color w:val="000000"/>
          <w:lang w:val="es-ES"/>
        </w:rPr>
        <w:t>realizada</w:t>
      </w:r>
      <w:r w:rsidRPr="00BC2567">
        <w:rPr>
          <w:rFonts w:ascii="Arial" w:hAnsi="Arial" w:cs="Arial"/>
          <w:color w:val="000000"/>
          <w:lang w:val="es-ES"/>
        </w:rPr>
        <w:t xml:space="preserve"> en la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sección de advertencias especiales.</w:t>
      </w:r>
    </w:p>
    <w:p w14:paraId="05841694" w14:textId="251BC9CF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Para el tratamiento concurrente de infecciones de nematodos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 xml:space="preserve">gastrointestinales </w:t>
      </w:r>
      <w:r w:rsidRPr="00BC2567">
        <w:rPr>
          <w:rFonts w:ascii="Arial" w:hAnsi="Arial" w:cs="Arial"/>
          <w:i/>
          <w:color w:val="000000"/>
          <w:lang w:val="es-ES"/>
        </w:rPr>
        <w:t>T. cati</w:t>
      </w:r>
      <w:r w:rsidRPr="00BC2567">
        <w:rPr>
          <w:rFonts w:ascii="Arial" w:hAnsi="Arial" w:cs="Arial"/>
          <w:color w:val="000000"/>
          <w:lang w:val="es-ES"/>
        </w:rPr>
        <w:t xml:space="preserve"> y </w:t>
      </w:r>
      <w:r w:rsidRPr="00BC2567">
        <w:rPr>
          <w:rFonts w:ascii="Arial" w:hAnsi="Arial" w:cs="Arial"/>
          <w:i/>
          <w:color w:val="000000"/>
          <w:lang w:val="es-ES"/>
        </w:rPr>
        <w:t>A. tubaeforme</w:t>
      </w:r>
      <w:r w:rsidRPr="00BC2567">
        <w:rPr>
          <w:rFonts w:ascii="Arial" w:hAnsi="Arial" w:cs="Arial"/>
          <w:color w:val="000000"/>
          <w:lang w:val="es-ES"/>
        </w:rPr>
        <w:t>, deberá aplicarse una sola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dosis del producto. La necesidad y frecuencia de nuevos tratamientos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deberá hacerse de conformidad con las recomendaciones del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veterinario responsable y tomando en cuenta la situación</w:t>
      </w:r>
    </w:p>
    <w:p w14:paraId="3762D341" w14:textId="77777777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epidemiológica local.</w:t>
      </w:r>
    </w:p>
    <w:p w14:paraId="1973AF23" w14:textId="77777777" w:rsid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</w:p>
    <w:p w14:paraId="654F33E3" w14:textId="5223485B" w:rsidR="00BC2567" w:rsidRPr="00BC2567" w:rsidRDefault="00BC2567" w:rsidP="00BC2567">
      <w:pPr>
        <w:ind w:left="360"/>
        <w:jc w:val="both"/>
        <w:rPr>
          <w:rFonts w:ascii="Arial" w:hAnsi="Arial" w:cs="Arial"/>
          <w:b/>
          <w:color w:val="000000"/>
          <w:lang w:val="es-ES"/>
        </w:rPr>
      </w:pPr>
      <w:r w:rsidRPr="00BC2567">
        <w:rPr>
          <w:rFonts w:ascii="Arial" w:hAnsi="Arial" w:cs="Arial"/>
          <w:b/>
          <w:color w:val="000000"/>
          <w:lang w:val="es-ES"/>
        </w:rPr>
        <w:t xml:space="preserve">Periodo de espera </w:t>
      </w:r>
    </w:p>
    <w:p w14:paraId="2A866C0D" w14:textId="77777777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No aplica.</w:t>
      </w:r>
    </w:p>
    <w:p w14:paraId="2653A33C" w14:textId="77777777" w:rsid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</w:p>
    <w:p w14:paraId="2B35C2ED" w14:textId="77777777" w:rsidR="00D149FE" w:rsidRDefault="00D149FE" w:rsidP="00BC2567">
      <w:pPr>
        <w:ind w:left="360"/>
        <w:jc w:val="both"/>
        <w:rPr>
          <w:rFonts w:ascii="Arial" w:hAnsi="Arial" w:cs="Arial"/>
          <w:b/>
          <w:color w:val="000000"/>
          <w:lang w:val="es-ES"/>
        </w:rPr>
      </w:pPr>
    </w:p>
    <w:p w14:paraId="02E65C0C" w14:textId="77777777" w:rsidR="00D149FE" w:rsidRDefault="00D149FE" w:rsidP="00BC2567">
      <w:pPr>
        <w:ind w:left="360"/>
        <w:jc w:val="both"/>
        <w:rPr>
          <w:rFonts w:ascii="Arial" w:hAnsi="Arial" w:cs="Arial"/>
          <w:b/>
          <w:color w:val="000000"/>
          <w:lang w:val="es-ES"/>
        </w:rPr>
      </w:pPr>
    </w:p>
    <w:p w14:paraId="13855D60" w14:textId="77777777" w:rsidR="00D149FE" w:rsidRDefault="00D149FE" w:rsidP="00BC2567">
      <w:pPr>
        <w:ind w:left="360"/>
        <w:jc w:val="both"/>
        <w:rPr>
          <w:rFonts w:ascii="Arial" w:hAnsi="Arial" w:cs="Arial"/>
          <w:b/>
          <w:color w:val="000000"/>
          <w:lang w:val="es-ES"/>
        </w:rPr>
      </w:pPr>
    </w:p>
    <w:p w14:paraId="01EBE75F" w14:textId="5A65EEC2" w:rsidR="00BC2567" w:rsidRPr="00BC2567" w:rsidRDefault="00BC2567" w:rsidP="00BC2567">
      <w:pPr>
        <w:ind w:left="360"/>
        <w:jc w:val="both"/>
        <w:rPr>
          <w:rFonts w:ascii="Arial" w:hAnsi="Arial" w:cs="Arial"/>
          <w:b/>
          <w:color w:val="000000"/>
          <w:lang w:val="es-ES"/>
        </w:rPr>
      </w:pPr>
      <w:r w:rsidRPr="00BC2567">
        <w:rPr>
          <w:rFonts w:ascii="Arial" w:hAnsi="Arial" w:cs="Arial"/>
          <w:b/>
          <w:color w:val="000000"/>
          <w:lang w:val="es-ES"/>
        </w:rPr>
        <w:t>Precauciones especiales de almacenamiento</w:t>
      </w:r>
    </w:p>
    <w:p w14:paraId="5217E746" w14:textId="77777777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Manténgase fuera de la vista y el alcance de los niños.</w:t>
      </w:r>
    </w:p>
    <w:p w14:paraId="7A10585F" w14:textId="77777777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No se almacene a más de 30°C.</w:t>
      </w:r>
    </w:p>
    <w:p w14:paraId="5284D732" w14:textId="6CF581CE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Las pipetas deberán mantenerse dentro de sus empaques para evitar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la pérdida de solvente o la absorción de humedad. Los empaques sólo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deberán abrirse inmediatamente antes de usarlos.</w:t>
      </w:r>
    </w:p>
    <w:p w14:paraId="23B23808" w14:textId="77777777" w:rsidR="00BC2567" w:rsidRDefault="00BC2567" w:rsidP="00BC2567">
      <w:pPr>
        <w:ind w:left="360"/>
        <w:jc w:val="both"/>
        <w:rPr>
          <w:rFonts w:ascii="Arial" w:hAnsi="Arial" w:cs="Arial"/>
          <w:b/>
          <w:color w:val="000000"/>
          <w:lang w:val="es-ES"/>
        </w:rPr>
      </w:pPr>
    </w:p>
    <w:p w14:paraId="4D408822" w14:textId="76E754EE" w:rsidR="00BC2567" w:rsidRPr="00BC2567" w:rsidRDefault="00BC2567" w:rsidP="00BC2567">
      <w:pPr>
        <w:ind w:left="360"/>
        <w:jc w:val="both"/>
        <w:rPr>
          <w:rFonts w:ascii="Arial" w:hAnsi="Arial" w:cs="Arial"/>
          <w:b/>
          <w:color w:val="000000"/>
          <w:lang w:val="es-ES"/>
        </w:rPr>
      </w:pPr>
      <w:r w:rsidRPr="00BC2567">
        <w:rPr>
          <w:rFonts w:ascii="Arial" w:hAnsi="Arial" w:cs="Arial"/>
          <w:b/>
          <w:color w:val="000000"/>
          <w:lang w:val="es-ES"/>
        </w:rPr>
        <w:t xml:space="preserve">Advertencias especiales </w:t>
      </w:r>
    </w:p>
    <w:p w14:paraId="3FB35A91" w14:textId="77777777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Advertencias especiales para cada una de las especies de destino:</w:t>
      </w:r>
    </w:p>
    <w:p w14:paraId="62CEDC8B" w14:textId="3F69DF66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Es necesario que las pulgas y garrapatas se alimenten del huésped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para quedar expuestas al fluralaner; por lo tanto, no puede excluirse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el riesgo de transmisión de enfermedades de las que los parásitos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sean portadores.</w:t>
      </w:r>
    </w:p>
    <w:p w14:paraId="2E55CBC3" w14:textId="758A87C1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Los gatos que viven en áreas endémicas de gusano del corazón (o que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han viajado a dichas áreas) pueden estar infectados con gusanos del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corazón adultos. No se ha establecido ningún efecto terapéutico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 xml:space="preserve">contra la </w:t>
      </w:r>
      <w:r w:rsidRPr="00BC2567">
        <w:rPr>
          <w:rFonts w:ascii="Arial" w:hAnsi="Arial" w:cs="Arial"/>
          <w:i/>
          <w:color w:val="000000"/>
          <w:lang w:val="es-ES"/>
        </w:rPr>
        <w:t>Dirofilaria immitis</w:t>
      </w:r>
      <w:r w:rsidRPr="00BC2567">
        <w:rPr>
          <w:rFonts w:ascii="Arial" w:hAnsi="Arial" w:cs="Arial"/>
          <w:color w:val="000000"/>
          <w:lang w:val="es-ES"/>
        </w:rPr>
        <w:t xml:space="preserve"> adulta. Por lo tanto, se recomienda, de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 xml:space="preserve">acuerdo con las buenas prácticas veterinarias, que todos los </w:t>
      </w:r>
      <w:r w:rsidRPr="00BC2567">
        <w:rPr>
          <w:rFonts w:ascii="Arial" w:hAnsi="Arial" w:cs="Arial"/>
          <w:color w:val="000000"/>
          <w:lang w:val="es-ES"/>
        </w:rPr>
        <w:lastRenderedPageBreak/>
        <w:t>animales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de 6 o más meses de edad que vivan en áreas donde exista un vector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se sometan a pruebas en busca de infecciones de gusano del corazón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adulto antes de empezar el tratamiento preventivo con el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medicamento de uso veterinario.</w:t>
      </w:r>
    </w:p>
    <w:p w14:paraId="7B5418C4" w14:textId="289DC52A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Para garantizar una prevención continua contra la enfermedad del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gusano del corazón es necesario repetir el tratamiento a intervalos de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12 semanas. Al momento del tratamiento Bravecto Plus es efectivo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 xml:space="preserve">contra las larvas de </w:t>
      </w:r>
      <w:r w:rsidRPr="00BC2567">
        <w:rPr>
          <w:rFonts w:ascii="Arial" w:hAnsi="Arial" w:cs="Arial"/>
          <w:i/>
          <w:color w:val="000000"/>
          <w:lang w:val="es-ES"/>
        </w:rPr>
        <w:t>D. immitis</w:t>
      </w:r>
      <w:r w:rsidRPr="00BC2567">
        <w:rPr>
          <w:rFonts w:ascii="Arial" w:hAnsi="Arial" w:cs="Arial"/>
          <w:color w:val="000000"/>
          <w:lang w:val="es-ES"/>
        </w:rPr>
        <w:t xml:space="preserve"> (L3 y L4) que se hayan desarrollado en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los 30 días anteriores y contra la intrusión de nuevas larvas de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i/>
          <w:color w:val="000000"/>
          <w:lang w:val="es-ES"/>
        </w:rPr>
        <w:t xml:space="preserve">D. immitis </w:t>
      </w:r>
      <w:r w:rsidRPr="00BC2567">
        <w:rPr>
          <w:rFonts w:ascii="Arial" w:hAnsi="Arial" w:cs="Arial"/>
          <w:color w:val="000000"/>
          <w:lang w:val="es-ES"/>
        </w:rPr>
        <w:t>(L3 y L4) durante los siguientes 60 días.</w:t>
      </w:r>
    </w:p>
    <w:p w14:paraId="6C639ED8" w14:textId="7EE0D4C0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La prevención contra la enfermedad del gusano del corazón en gatos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que estén sólo temporalmente en áreas endémicas deberá empezar a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más tardar 1 mes después de que hayan estado expuestos por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primera vez a la picadura de mosquitos y deberá continuar a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intervalos de 12 semanas hasta que regresen a un área no endémica.</w:t>
      </w:r>
    </w:p>
    <w:p w14:paraId="05796AD0" w14:textId="27DEB6FD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Para el tratamiento de infecciones de nematodos gastrointestinales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i/>
          <w:color w:val="000000"/>
          <w:lang w:val="es-ES"/>
        </w:rPr>
        <w:t>T. cati y A. tubaeforme</w:t>
      </w:r>
      <w:r w:rsidRPr="00BC2567">
        <w:rPr>
          <w:rFonts w:ascii="Arial" w:hAnsi="Arial" w:cs="Arial"/>
          <w:color w:val="000000"/>
          <w:lang w:val="es-ES"/>
        </w:rPr>
        <w:t>, la necesidad y frecuencia de nuevos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 xml:space="preserve">tratamientos, así como la elección de </w:t>
      </w:r>
      <w:r w:rsidR="00D149FE" w:rsidRPr="00BC2567">
        <w:rPr>
          <w:rFonts w:ascii="Arial" w:hAnsi="Arial" w:cs="Arial"/>
          <w:color w:val="000000"/>
          <w:lang w:val="es-ES"/>
        </w:rPr>
        <w:t>estos</w:t>
      </w:r>
      <w:r w:rsidRPr="00BC2567">
        <w:rPr>
          <w:rFonts w:ascii="Arial" w:hAnsi="Arial" w:cs="Arial"/>
          <w:color w:val="000000"/>
          <w:lang w:val="es-ES"/>
        </w:rPr>
        <w:t xml:space="preserve"> (una sola substancia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o una combinación de productos) deberán ser evaluados por el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veterinario responsable.</w:t>
      </w:r>
    </w:p>
    <w:p w14:paraId="35436FFE" w14:textId="60289D84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La resistencia del parásito a cualquier clase particular de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antihelmíntico puede desarrollarse después de un uso frecuente y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repetido de un antihelmíntico de dicha clase bajo circunstancias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especiales. Por lo tanto, el uso de este medicamento de uso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veterinario deberá basarse en la evaluación que se haga de cada caso</w:t>
      </w:r>
    </w:p>
    <w:p w14:paraId="5C7B69DA" w14:textId="5BF18CC3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individual y en la información epidemiológica local acerca de la</w:t>
      </w:r>
      <w:r w:rsidR="00701267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susceptibilidad de las especies de destino con el fin de limitar la</w:t>
      </w:r>
      <w:r w:rsidR="00701267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posibilidad de una futura resistencia. Se recomienda realizar un</w:t>
      </w:r>
      <w:r w:rsidR="00701267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control parasitario durante todo el periodo de riesgo potencial de</w:t>
      </w:r>
      <w:r w:rsidR="00701267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infestación.</w:t>
      </w:r>
    </w:p>
    <w:p w14:paraId="715D39D4" w14:textId="5F7F5287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Evite sumergir en agua o lavar con shampoo frecuentemente al</w:t>
      </w:r>
      <w:r w:rsidR="00701267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animal, ya que en estos casos no se ha probado la efectividad</w:t>
      </w:r>
      <w:r w:rsidR="00701267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continua del producto.</w:t>
      </w:r>
    </w:p>
    <w:p w14:paraId="0B9D4862" w14:textId="77777777" w:rsidR="00701267" w:rsidRDefault="007012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</w:p>
    <w:p w14:paraId="20806205" w14:textId="328DF92F" w:rsidR="00BC2567" w:rsidRPr="00701267" w:rsidRDefault="00BC2567" w:rsidP="00BC2567">
      <w:pPr>
        <w:ind w:left="360"/>
        <w:jc w:val="both"/>
        <w:rPr>
          <w:rFonts w:ascii="Arial" w:hAnsi="Arial" w:cs="Arial"/>
          <w:b/>
          <w:color w:val="000000"/>
          <w:lang w:val="es-ES"/>
        </w:rPr>
      </w:pPr>
      <w:r w:rsidRPr="00701267">
        <w:rPr>
          <w:rFonts w:ascii="Arial" w:hAnsi="Arial" w:cs="Arial"/>
          <w:b/>
          <w:color w:val="000000"/>
          <w:lang w:val="es-ES"/>
        </w:rPr>
        <w:t>Precauciones especiales para su uso en animales:</w:t>
      </w:r>
    </w:p>
    <w:p w14:paraId="59E04028" w14:textId="7E33008A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Deberá tenerse cuidado para evitar el contacto del producto con los</w:t>
      </w:r>
      <w:r w:rsidR="00701267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ojos del animal.</w:t>
      </w:r>
    </w:p>
    <w:p w14:paraId="0B0A2D5B" w14:textId="77777777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No se use directamente sobre lesiones de la piel.</w:t>
      </w:r>
    </w:p>
    <w:p w14:paraId="162EA63C" w14:textId="10E3A406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Debido a la falta de datos disponibles, no se recomienda el</w:t>
      </w:r>
      <w:r w:rsidR="00701267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tratamiento en gatitos de menos de 9 semanas de edad y en gatos</w:t>
      </w:r>
      <w:r w:rsidR="00701267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con un peso corporal menor a 1.2 kg.</w:t>
      </w:r>
    </w:p>
    <w:p w14:paraId="16ABFC94" w14:textId="77777777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Tampoco se recomienda el tratamiento en animales machos de cría.</w:t>
      </w:r>
    </w:p>
    <w:p w14:paraId="5EEEA0AB" w14:textId="705A3719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El producto no deberá administrarse a intervalos menores a</w:t>
      </w:r>
      <w:r w:rsidR="00701267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8 semanas, ya que la seguridad de su aplicación a intervalos más</w:t>
      </w:r>
      <w:r w:rsidR="00701267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cortos no ha sido probada.</w:t>
      </w:r>
    </w:p>
    <w:p w14:paraId="4341482D" w14:textId="751DBF56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Este producto es de aplicación tópica y no deberá administrarse por</w:t>
      </w:r>
      <w:r w:rsidR="00701267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vía oral.</w:t>
      </w:r>
    </w:p>
    <w:p w14:paraId="5744C8BD" w14:textId="787F44B8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La ingesta del producto a una dosis máxima recomendada de 93 mg</w:t>
      </w:r>
      <w:r w:rsidR="00701267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de fluralaner + 4.65 mg moxidectina/kg de peso corporal indujo</w:t>
      </w:r>
      <w:r w:rsidR="00701267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cierto grado de salivación autolimitada o incidentes aislados de</w:t>
      </w:r>
      <w:r w:rsidR="00701267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vómito inmediatamente después de su administración.</w:t>
      </w:r>
      <w:r w:rsidR="00701267">
        <w:rPr>
          <w:rFonts w:ascii="Arial" w:hAnsi="Arial" w:cs="Arial"/>
          <w:color w:val="000000"/>
          <w:lang w:val="es-ES"/>
        </w:rPr>
        <w:t xml:space="preserve"> </w:t>
      </w:r>
    </w:p>
    <w:p w14:paraId="1DD81B0C" w14:textId="19F6E270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Es importante aplicar la dosis tal como se indica para evitar que el</w:t>
      </w:r>
      <w:r w:rsidR="00701267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animal se lama e ingiera el producto.</w:t>
      </w:r>
      <w:r w:rsidR="00701267">
        <w:rPr>
          <w:rFonts w:ascii="Arial" w:hAnsi="Arial" w:cs="Arial"/>
          <w:color w:val="000000"/>
          <w:lang w:val="es-ES"/>
        </w:rPr>
        <w:t xml:space="preserve"> </w:t>
      </w:r>
    </w:p>
    <w:p w14:paraId="3AAA0295" w14:textId="1853B333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lastRenderedPageBreak/>
        <w:t>No permita que animales recientemente tratados se acicalen entre</w:t>
      </w:r>
      <w:r w:rsidR="00701267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ellos.</w:t>
      </w:r>
    </w:p>
    <w:p w14:paraId="3D66CBC1" w14:textId="49C59752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No permita que animales tratados entren en contacto con animales</w:t>
      </w:r>
      <w:r w:rsidR="00701267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no tratados hasta que el sitio de la aplicación esté seco.</w:t>
      </w:r>
    </w:p>
    <w:p w14:paraId="2934A35B" w14:textId="77777777" w:rsidR="00D036BE" w:rsidRDefault="00D036BE" w:rsidP="00BC2567">
      <w:pPr>
        <w:ind w:left="360"/>
        <w:jc w:val="both"/>
        <w:rPr>
          <w:rFonts w:ascii="Arial" w:hAnsi="Arial" w:cs="Arial"/>
          <w:b/>
          <w:color w:val="000000"/>
          <w:lang w:val="es-ES"/>
        </w:rPr>
      </w:pPr>
    </w:p>
    <w:p w14:paraId="3986E974" w14:textId="554A94A0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D036BE">
        <w:rPr>
          <w:rFonts w:ascii="Arial" w:hAnsi="Arial" w:cs="Arial"/>
          <w:b/>
          <w:color w:val="000000"/>
          <w:lang w:val="es-ES"/>
        </w:rPr>
        <w:t>Precauciones especiales que debe tomar la persona que administra el</w:t>
      </w:r>
      <w:r w:rsidR="00701267" w:rsidRPr="00D036BE">
        <w:rPr>
          <w:rFonts w:ascii="Arial" w:hAnsi="Arial" w:cs="Arial"/>
          <w:b/>
          <w:color w:val="000000"/>
          <w:lang w:val="es-ES"/>
        </w:rPr>
        <w:t xml:space="preserve"> </w:t>
      </w:r>
      <w:r w:rsidRPr="00D036BE">
        <w:rPr>
          <w:rFonts w:ascii="Arial" w:hAnsi="Arial" w:cs="Arial"/>
          <w:b/>
          <w:color w:val="000000"/>
          <w:lang w:val="es-ES"/>
        </w:rPr>
        <w:t>medicamento de uso veterinario a los animales</w:t>
      </w:r>
      <w:r w:rsidRPr="00BC2567">
        <w:rPr>
          <w:rFonts w:ascii="Arial" w:hAnsi="Arial" w:cs="Arial"/>
          <w:color w:val="000000"/>
          <w:lang w:val="es-ES"/>
        </w:rPr>
        <w:t>:</w:t>
      </w:r>
    </w:p>
    <w:p w14:paraId="0D5168CE" w14:textId="3336D7EE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La ingestión de este producto puede ser dañina. Mantenga el</w:t>
      </w:r>
      <w:r w:rsidR="00701267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producto en su empaque sellado hasta antes de usarlo con el fin de</w:t>
      </w:r>
      <w:r w:rsidR="00701267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evitar que los niños entren en contacto directo con el producto. Las</w:t>
      </w:r>
      <w:r w:rsidR="00701267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pipetas usadas deberán desecharse inmediatamente. En caso de</w:t>
      </w:r>
      <w:r w:rsidR="00701267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ingestión accidental, consulte inmediatamente a un médico y</w:t>
      </w:r>
      <w:r w:rsidR="00701267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muéstrele el prospecto del empaque o la etiqueta del producto.</w:t>
      </w:r>
    </w:p>
    <w:p w14:paraId="0C90459E" w14:textId="77777777" w:rsidR="007012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Este producto y la piel impregnada de un animal recientemente</w:t>
      </w:r>
      <w:r w:rsidR="00701267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tratado pueden ser ligeramente irritantes para la piel y</w:t>
      </w:r>
      <w:r w:rsidR="00701267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moderadamente irritantes para los ojos. Por lo tanto, evite el contacto</w:t>
      </w:r>
      <w:r w:rsidR="00701267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con la piel, boca y ojos, incluyendo el contacto de mano a boca y/o de</w:t>
      </w:r>
      <w:r w:rsidR="00701267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 xml:space="preserve">mano a ojo. </w:t>
      </w:r>
    </w:p>
    <w:p w14:paraId="4586A459" w14:textId="4E8B3484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No coma, beba o fume mientras usa el producto. No</w:t>
      </w:r>
      <w:r w:rsidR="00701267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entre en contacto o permita que los niños entren en contacto con el</w:t>
      </w:r>
      <w:r w:rsidR="00701267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sitio de la aplicación hasta que esté seco, por lo que se recomienda</w:t>
      </w:r>
      <w:r w:rsidR="00701267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tratar al animal en la noche. El día del tratamiento no deberá</w:t>
      </w:r>
      <w:r w:rsidR="00701267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permitirse a los animales tratados dormir en la misma cama que sus</w:t>
      </w:r>
    </w:p>
    <w:p w14:paraId="595BB363" w14:textId="77777777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dueños, especialmente niños.</w:t>
      </w:r>
    </w:p>
    <w:p w14:paraId="23B8430B" w14:textId="09968AD6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Lávese cuidadosamente con agua y jabón las manos y la piel que</w:t>
      </w:r>
      <w:r w:rsidR="00701267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hayan estado en contacto con el producto inmediatamente después</w:t>
      </w:r>
      <w:r w:rsidR="00701267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de usarlo.</w:t>
      </w:r>
    </w:p>
    <w:p w14:paraId="23CE56B3" w14:textId="243E3BA5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En caso de que el producto haya estado en contacto con los ojos,</w:t>
      </w:r>
      <w:r w:rsidR="00701267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enjuáguelos inmediatamente con agua.</w:t>
      </w:r>
    </w:p>
    <w:p w14:paraId="744F49FB" w14:textId="5E4704F1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Este producto es altamente inflamable. Manténgalo alejado de</w:t>
      </w:r>
      <w:r w:rsidR="00701267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superficies calientes, chispas, llamas abiertas u otras fuentes de calor.</w:t>
      </w:r>
      <w:r w:rsidR="00701267">
        <w:rPr>
          <w:rFonts w:ascii="Arial" w:hAnsi="Arial" w:cs="Arial"/>
          <w:color w:val="000000"/>
          <w:lang w:val="es-ES"/>
        </w:rPr>
        <w:t xml:space="preserve"> </w:t>
      </w:r>
    </w:p>
    <w:p w14:paraId="3387477F" w14:textId="77777777" w:rsidR="00701267" w:rsidRDefault="00701267" w:rsidP="00BC2567">
      <w:pPr>
        <w:ind w:left="360"/>
        <w:jc w:val="both"/>
        <w:rPr>
          <w:rFonts w:ascii="Arial" w:hAnsi="Arial" w:cs="Arial"/>
          <w:b/>
          <w:color w:val="000000"/>
          <w:lang w:val="es-ES"/>
        </w:rPr>
      </w:pPr>
    </w:p>
    <w:p w14:paraId="20D6052B" w14:textId="6595811E" w:rsidR="00BC2567" w:rsidRPr="00701267" w:rsidRDefault="00BC2567" w:rsidP="00BC2567">
      <w:pPr>
        <w:ind w:left="360"/>
        <w:jc w:val="both"/>
        <w:rPr>
          <w:rFonts w:ascii="Arial" w:hAnsi="Arial" w:cs="Arial"/>
          <w:b/>
          <w:color w:val="000000"/>
          <w:lang w:val="es-ES"/>
        </w:rPr>
      </w:pPr>
      <w:r w:rsidRPr="00701267">
        <w:rPr>
          <w:rFonts w:ascii="Arial" w:hAnsi="Arial" w:cs="Arial"/>
          <w:b/>
          <w:color w:val="000000"/>
          <w:lang w:val="es-ES"/>
        </w:rPr>
        <w:t>Gestación y lactancia:</w:t>
      </w:r>
    </w:p>
    <w:p w14:paraId="28D67A59" w14:textId="4BD3195B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No se ha establecido la seguridad de este producto médico de uso</w:t>
      </w:r>
      <w:r w:rsidR="00701267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veterinario en animales gestantes o lactantes, por lo que no se</w:t>
      </w:r>
      <w:r w:rsidR="00701267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recomienda su uso en dichos animales.</w:t>
      </w:r>
      <w:r w:rsidR="00701267">
        <w:rPr>
          <w:rFonts w:ascii="Arial" w:hAnsi="Arial" w:cs="Arial"/>
          <w:color w:val="000000"/>
          <w:lang w:val="es-ES"/>
        </w:rPr>
        <w:t xml:space="preserve"> </w:t>
      </w:r>
    </w:p>
    <w:p w14:paraId="047A9178" w14:textId="77777777" w:rsidR="00D149FE" w:rsidRDefault="00D149FE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</w:p>
    <w:p w14:paraId="41FB6884" w14:textId="261EBE63" w:rsidR="00BC2567" w:rsidRPr="00D149FE" w:rsidRDefault="00BC2567" w:rsidP="00BC2567">
      <w:pPr>
        <w:ind w:left="360"/>
        <w:jc w:val="both"/>
        <w:rPr>
          <w:rFonts w:ascii="Arial" w:hAnsi="Arial" w:cs="Arial"/>
          <w:b/>
          <w:color w:val="000000"/>
          <w:lang w:val="es-ES"/>
        </w:rPr>
      </w:pPr>
      <w:r w:rsidRPr="00D149FE">
        <w:rPr>
          <w:rFonts w:ascii="Arial" w:hAnsi="Arial" w:cs="Arial"/>
          <w:b/>
          <w:color w:val="000000"/>
          <w:lang w:val="es-ES"/>
        </w:rPr>
        <w:t>Interacción con otros productos médicos de uso veterinario y otras</w:t>
      </w:r>
      <w:r w:rsidR="00701267" w:rsidRPr="00D149FE">
        <w:rPr>
          <w:rFonts w:ascii="Arial" w:hAnsi="Arial" w:cs="Arial"/>
          <w:b/>
          <w:color w:val="000000"/>
          <w:lang w:val="es-ES"/>
        </w:rPr>
        <w:t xml:space="preserve"> </w:t>
      </w:r>
      <w:r w:rsidRPr="00D149FE">
        <w:rPr>
          <w:rFonts w:ascii="Arial" w:hAnsi="Arial" w:cs="Arial"/>
          <w:b/>
          <w:color w:val="000000"/>
          <w:lang w:val="es-ES"/>
        </w:rPr>
        <w:t>formas de interacción:</w:t>
      </w:r>
    </w:p>
    <w:p w14:paraId="0D31EDB8" w14:textId="5E216515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Las lactonas macrocíclicas, incluyendo la moxidectina, han mostrado</w:t>
      </w:r>
      <w:r w:rsidR="00701267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ser sustratos de la glicoproteina-p. Por lo tanto, durante el</w:t>
      </w:r>
      <w:r w:rsidR="00701267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tratamiento con Bravecto Plus, otros productos que pueden inhibir la</w:t>
      </w:r>
      <w:r w:rsidR="00701267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glicoproteina-p (como la ciclosporina, ketoconazol, spinosad,</w:t>
      </w:r>
      <w:r w:rsidR="00701267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verapamil) únicamente deberán usarse concomitantemente de</w:t>
      </w:r>
      <w:r w:rsidR="00701267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acuerdo con una evaluación riesgo-beneficio por parte del veterinario</w:t>
      </w:r>
      <w:r w:rsidR="00701267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responsable.</w:t>
      </w:r>
    </w:p>
    <w:p w14:paraId="3E5A71AF" w14:textId="77777777" w:rsidR="00701267" w:rsidRDefault="007012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</w:p>
    <w:p w14:paraId="4F7960AB" w14:textId="422FC9B8" w:rsidR="00BC2567" w:rsidRPr="00701267" w:rsidRDefault="00BC2567" w:rsidP="00BC2567">
      <w:pPr>
        <w:ind w:left="360"/>
        <w:jc w:val="both"/>
        <w:rPr>
          <w:rFonts w:ascii="Arial" w:hAnsi="Arial" w:cs="Arial"/>
          <w:b/>
          <w:color w:val="000000"/>
          <w:lang w:val="es-ES"/>
        </w:rPr>
      </w:pPr>
      <w:r w:rsidRPr="00701267">
        <w:rPr>
          <w:rFonts w:ascii="Arial" w:hAnsi="Arial" w:cs="Arial"/>
          <w:b/>
          <w:color w:val="000000"/>
          <w:lang w:val="es-ES"/>
        </w:rPr>
        <w:t>Sobredosis (síntomas, procedimientos de emergencia y antídotos):</w:t>
      </w:r>
    </w:p>
    <w:p w14:paraId="147BCA3D" w14:textId="6508B3D0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lastRenderedPageBreak/>
        <w:t>No se observaron reacciones adversas después de la administración</w:t>
      </w:r>
      <w:r w:rsidR="00701267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tópica en gatitos de 9 a 13 semanas de edad y con un peso de</w:t>
      </w:r>
      <w:r w:rsidR="00701267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0.9-1.9 kg, tratados en tres ocasiones a intervalos más cortos de los</w:t>
      </w:r>
      <w:r w:rsidR="00701267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recomendados (intervalos de 8 semanas) con sobredosis de hasta</w:t>
      </w:r>
      <w:r w:rsidR="00701267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 xml:space="preserve">5 veces la dosis máxima recomendada (93 mg fluralaner + 4.65 </w:t>
      </w:r>
      <w:r w:rsidR="00701267" w:rsidRPr="00BC2567">
        <w:rPr>
          <w:rFonts w:ascii="Arial" w:hAnsi="Arial" w:cs="Arial"/>
          <w:color w:val="000000"/>
          <w:lang w:val="es-ES"/>
        </w:rPr>
        <w:t>mg</w:t>
      </w:r>
      <w:r w:rsidR="00701267">
        <w:rPr>
          <w:rFonts w:ascii="Arial" w:hAnsi="Arial" w:cs="Arial"/>
          <w:color w:val="000000"/>
          <w:lang w:val="es-ES"/>
        </w:rPr>
        <w:t xml:space="preserve"> moxidectina</w:t>
      </w:r>
      <w:r w:rsidRPr="00BC2567">
        <w:rPr>
          <w:rFonts w:ascii="Arial" w:hAnsi="Arial" w:cs="Arial"/>
          <w:color w:val="000000"/>
          <w:lang w:val="es-ES"/>
        </w:rPr>
        <w:t>, 279 mg fluralaner + 13.95 mg moxidectina y 465 mg</w:t>
      </w:r>
    </w:p>
    <w:p w14:paraId="6C0A4D1D" w14:textId="77777777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fluralaner + 23.25 mg moxidectina/kg de peso corporal).</w:t>
      </w:r>
    </w:p>
    <w:p w14:paraId="5E26C0F1" w14:textId="77777777" w:rsidR="00701267" w:rsidRDefault="007012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</w:p>
    <w:p w14:paraId="138C6D20" w14:textId="2FC4DFF1" w:rsidR="00D149FE" w:rsidRPr="005821DB" w:rsidRDefault="00BC2567" w:rsidP="00BC2567">
      <w:pPr>
        <w:ind w:left="360"/>
        <w:jc w:val="both"/>
        <w:rPr>
          <w:rFonts w:ascii="Arial" w:hAnsi="Arial" w:cs="Arial"/>
          <w:b/>
          <w:color w:val="000000"/>
          <w:lang w:val="es-ES"/>
        </w:rPr>
      </w:pPr>
      <w:r w:rsidRPr="005821DB">
        <w:rPr>
          <w:rFonts w:ascii="Arial" w:hAnsi="Arial" w:cs="Arial"/>
          <w:b/>
          <w:color w:val="000000"/>
          <w:lang w:val="es-ES"/>
        </w:rPr>
        <w:t>P</w:t>
      </w:r>
      <w:r w:rsidR="00D149FE" w:rsidRPr="005821DB">
        <w:rPr>
          <w:rFonts w:ascii="Arial" w:hAnsi="Arial" w:cs="Arial"/>
          <w:b/>
          <w:color w:val="000000"/>
          <w:lang w:val="es-ES"/>
        </w:rPr>
        <w:t xml:space="preserve">recauciones especiales para la eliminación del producto o los materiales de deshecho </w:t>
      </w:r>
    </w:p>
    <w:p w14:paraId="57A5817E" w14:textId="0725E689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Cualquier producto no utilizado o material de desecho deberá</w:t>
      </w:r>
      <w:r w:rsidR="00D149FE">
        <w:rPr>
          <w:rFonts w:ascii="Arial" w:hAnsi="Arial" w:cs="Arial"/>
          <w:color w:val="000000"/>
          <w:lang w:val="es-ES"/>
        </w:rPr>
        <w:t xml:space="preserve"> </w:t>
      </w:r>
      <w:r w:rsidRPr="00BC2567">
        <w:rPr>
          <w:rFonts w:ascii="Arial" w:hAnsi="Arial" w:cs="Arial"/>
          <w:color w:val="000000"/>
          <w:lang w:val="es-ES"/>
        </w:rPr>
        <w:t>eliminarse de acuerdo con las normas locales.</w:t>
      </w:r>
    </w:p>
    <w:p w14:paraId="2EB33F9A" w14:textId="77777777" w:rsidR="00D036BE" w:rsidRDefault="00D036BE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</w:p>
    <w:p w14:paraId="03659911" w14:textId="02E1FFAE" w:rsidR="00BC2567" w:rsidRPr="00D149FE" w:rsidRDefault="00BC2567" w:rsidP="00BC2567">
      <w:pPr>
        <w:ind w:left="360"/>
        <w:jc w:val="both"/>
        <w:rPr>
          <w:rFonts w:ascii="Arial" w:hAnsi="Arial" w:cs="Arial"/>
          <w:b/>
          <w:color w:val="000000"/>
          <w:lang w:val="es-ES"/>
        </w:rPr>
      </w:pPr>
      <w:r w:rsidRPr="00D149FE">
        <w:rPr>
          <w:rFonts w:ascii="Arial" w:hAnsi="Arial" w:cs="Arial"/>
          <w:b/>
          <w:color w:val="000000"/>
          <w:lang w:val="es-ES"/>
        </w:rPr>
        <w:t>I</w:t>
      </w:r>
      <w:r w:rsidR="00D149FE" w:rsidRPr="00D149FE">
        <w:rPr>
          <w:rFonts w:ascii="Arial" w:hAnsi="Arial" w:cs="Arial"/>
          <w:b/>
          <w:color w:val="000000"/>
          <w:lang w:val="es-ES"/>
        </w:rPr>
        <w:t xml:space="preserve">nformación adicional </w:t>
      </w:r>
    </w:p>
    <w:p w14:paraId="060EC47E" w14:textId="77777777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Únicamente para uso veterinario.</w:t>
      </w:r>
    </w:p>
    <w:p w14:paraId="02283211" w14:textId="77777777" w:rsidR="00D149FE" w:rsidRDefault="00D149FE" w:rsidP="00BC2567">
      <w:pPr>
        <w:ind w:left="360"/>
        <w:jc w:val="both"/>
        <w:rPr>
          <w:rFonts w:ascii="Arial" w:hAnsi="Arial" w:cs="Arial"/>
          <w:b/>
          <w:color w:val="000000"/>
          <w:lang w:val="es-ES"/>
        </w:rPr>
      </w:pPr>
    </w:p>
    <w:p w14:paraId="789DE456" w14:textId="082EB025" w:rsidR="00D149FE" w:rsidRPr="00D149FE" w:rsidRDefault="00BC2567" w:rsidP="00BC2567">
      <w:pPr>
        <w:ind w:left="360"/>
        <w:jc w:val="both"/>
        <w:rPr>
          <w:rFonts w:ascii="Arial" w:hAnsi="Arial" w:cs="Arial"/>
          <w:b/>
          <w:color w:val="000000"/>
          <w:lang w:val="es-ES"/>
        </w:rPr>
      </w:pPr>
      <w:r w:rsidRPr="00D149FE">
        <w:rPr>
          <w:rFonts w:ascii="Arial" w:hAnsi="Arial" w:cs="Arial"/>
          <w:b/>
          <w:color w:val="000000"/>
          <w:lang w:val="es-ES"/>
        </w:rPr>
        <w:t xml:space="preserve">Fabricado por: </w:t>
      </w:r>
    </w:p>
    <w:p w14:paraId="0894FDF6" w14:textId="56AC1FC2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 xml:space="preserve">Patheon Manufacturing </w:t>
      </w:r>
      <w:r w:rsidR="00634621" w:rsidRPr="00BC2567">
        <w:rPr>
          <w:rFonts w:ascii="Arial" w:hAnsi="Arial" w:cs="Arial"/>
          <w:color w:val="000000"/>
          <w:lang w:val="es-ES"/>
        </w:rPr>
        <w:t>LLC.</w:t>
      </w:r>
      <w:r w:rsidRPr="00BC2567">
        <w:rPr>
          <w:rFonts w:ascii="Arial" w:hAnsi="Arial" w:cs="Arial"/>
          <w:color w:val="000000"/>
          <w:lang w:val="es-ES"/>
        </w:rPr>
        <w:t xml:space="preserve"> Carolina del Norte- USA.</w:t>
      </w:r>
    </w:p>
    <w:p w14:paraId="7B5F85E9" w14:textId="77777777" w:rsidR="00D149FE" w:rsidRDefault="00D149FE" w:rsidP="00D149FE">
      <w:pPr>
        <w:ind w:left="360"/>
        <w:jc w:val="both"/>
        <w:rPr>
          <w:rFonts w:ascii="Arial" w:hAnsi="Arial" w:cs="Arial"/>
          <w:color w:val="000000"/>
          <w:lang w:val="es-ES"/>
        </w:rPr>
      </w:pPr>
    </w:p>
    <w:p w14:paraId="35CCADA7" w14:textId="77777777" w:rsidR="00D149FE" w:rsidRPr="00D149FE" w:rsidRDefault="00D149FE" w:rsidP="00D149FE">
      <w:pPr>
        <w:ind w:left="360"/>
        <w:jc w:val="both"/>
        <w:rPr>
          <w:rFonts w:ascii="Arial" w:hAnsi="Arial" w:cs="Arial"/>
          <w:b/>
          <w:color w:val="000000"/>
          <w:lang w:val="es-ES"/>
        </w:rPr>
      </w:pPr>
      <w:r w:rsidRPr="00D149FE">
        <w:rPr>
          <w:rFonts w:ascii="Arial" w:hAnsi="Arial" w:cs="Arial"/>
          <w:b/>
          <w:color w:val="000000"/>
          <w:lang w:val="es-ES"/>
        </w:rPr>
        <w:t xml:space="preserve">Producto de: </w:t>
      </w:r>
    </w:p>
    <w:p w14:paraId="310FC438" w14:textId="1A8E7EC9" w:rsidR="00D149FE" w:rsidRPr="00BC2567" w:rsidRDefault="00D149FE" w:rsidP="00D149FE">
      <w:pPr>
        <w:ind w:left="360"/>
        <w:jc w:val="both"/>
        <w:rPr>
          <w:rFonts w:ascii="Arial" w:hAnsi="Arial" w:cs="Arial"/>
          <w:color w:val="000000"/>
          <w:lang w:val="es-ES"/>
        </w:rPr>
      </w:pPr>
      <w:r w:rsidRPr="00BC2567">
        <w:rPr>
          <w:rFonts w:ascii="Arial" w:hAnsi="Arial" w:cs="Arial"/>
          <w:color w:val="000000"/>
          <w:lang w:val="es-ES"/>
        </w:rPr>
        <w:t>Intervet Inc., New Jersey USA</w:t>
      </w:r>
    </w:p>
    <w:p w14:paraId="6C24CFF9" w14:textId="2076700F" w:rsidR="00D036BE" w:rsidRDefault="00D036BE" w:rsidP="00BC2567">
      <w:pPr>
        <w:ind w:left="360"/>
        <w:jc w:val="both"/>
        <w:rPr>
          <w:rFonts w:ascii="Arial" w:hAnsi="Arial" w:cs="Arial"/>
          <w:b/>
          <w:color w:val="000000"/>
          <w:lang w:val="es-ES"/>
        </w:rPr>
      </w:pPr>
    </w:p>
    <w:p w14:paraId="7AB5C251" w14:textId="77777777" w:rsidR="005821DB" w:rsidRDefault="005821DB" w:rsidP="00BC2567">
      <w:pPr>
        <w:ind w:left="360"/>
        <w:jc w:val="both"/>
        <w:rPr>
          <w:rFonts w:ascii="Arial" w:hAnsi="Arial" w:cs="Arial"/>
          <w:b/>
          <w:color w:val="000000"/>
          <w:lang w:val="es-ES"/>
        </w:rPr>
      </w:pPr>
    </w:p>
    <w:p w14:paraId="56DF85D5" w14:textId="52218CD6" w:rsidR="00BC2567" w:rsidRPr="00D036BE" w:rsidRDefault="00BC2567" w:rsidP="00BC2567">
      <w:pPr>
        <w:ind w:left="360"/>
        <w:jc w:val="both"/>
        <w:rPr>
          <w:rFonts w:ascii="Arial" w:hAnsi="Arial" w:cs="Arial"/>
          <w:b/>
          <w:color w:val="000000"/>
          <w:lang w:val="es-ES"/>
        </w:rPr>
      </w:pPr>
      <w:r w:rsidRPr="00D036BE">
        <w:rPr>
          <w:rFonts w:ascii="Arial" w:hAnsi="Arial" w:cs="Arial"/>
          <w:b/>
          <w:color w:val="000000"/>
          <w:lang w:val="es-ES"/>
        </w:rPr>
        <w:t>Importado y distribuido por:</w:t>
      </w:r>
    </w:p>
    <w:p w14:paraId="71532AC8" w14:textId="77777777" w:rsidR="005B71A3" w:rsidRPr="007E1860" w:rsidRDefault="005B71A3" w:rsidP="005B71A3">
      <w:pPr>
        <w:pStyle w:val="NormalWeb"/>
        <w:spacing w:before="0" w:beforeAutospacing="0" w:after="0" w:afterAutospacing="0"/>
        <w:ind w:firstLine="360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MSD Salud Animal Perú </w:t>
      </w:r>
      <w:r w:rsidRPr="007E1860">
        <w:rPr>
          <w:rFonts w:ascii="Arial" w:hAnsi="Arial" w:cs="Arial"/>
          <w:b/>
          <w:lang w:val="es-MX"/>
        </w:rPr>
        <w:t>S.A.</w:t>
      </w:r>
    </w:p>
    <w:p w14:paraId="1E9D377D" w14:textId="77777777" w:rsidR="005B71A3" w:rsidRDefault="005B71A3" w:rsidP="005B71A3">
      <w:pPr>
        <w:pStyle w:val="NormalWeb"/>
        <w:ind w:firstLine="36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Av. Andrés Reyes 338, </w:t>
      </w:r>
    </w:p>
    <w:p w14:paraId="10668191" w14:textId="77777777" w:rsidR="005B71A3" w:rsidRPr="00C95CA0" w:rsidRDefault="005B71A3" w:rsidP="005B71A3">
      <w:pPr>
        <w:pStyle w:val="NormalWeb"/>
        <w:ind w:firstLine="36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San Isidro, </w:t>
      </w:r>
      <w:r w:rsidRPr="00C95CA0">
        <w:rPr>
          <w:rFonts w:ascii="Arial" w:hAnsi="Arial" w:cs="Arial"/>
          <w:lang w:val="es-MX"/>
        </w:rPr>
        <w:t xml:space="preserve">Lima </w:t>
      </w:r>
      <w:r>
        <w:rPr>
          <w:rFonts w:ascii="Arial" w:hAnsi="Arial" w:cs="Arial"/>
          <w:lang w:val="es-MX"/>
        </w:rPr>
        <w:t>15046</w:t>
      </w:r>
      <w:r w:rsidRPr="00C95CA0">
        <w:rPr>
          <w:rFonts w:ascii="Arial" w:hAnsi="Arial" w:cs="Arial"/>
          <w:lang w:val="es-MX"/>
        </w:rPr>
        <w:t>.</w:t>
      </w:r>
    </w:p>
    <w:p w14:paraId="0B80C2E0" w14:textId="77777777" w:rsidR="00D149FE" w:rsidRPr="005B71A3" w:rsidRDefault="00D149FE" w:rsidP="00D149FE">
      <w:pPr>
        <w:jc w:val="both"/>
        <w:rPr>
          <w:rFonts w:ascii="Arial" w:hAnsi="Arial" w:cs="Arial"/>
          <w:b/>
          <w:color w:val="000000"/>
          <w:lang w:val="es-MX"/>
        </w:rPr>
      </w:pPr>
    </w:p>
    <w:p w14:paraId="5294FFAA" w14:textId="1DD18FA7" w:rsidR="00BC2567" w:rsidRPr="005B71A3" w:rsidRDefault="00BC2567" w:rsidP="00BC2567">
      <w:pPr>
        <w:ind w:left="360"/>
        <w:jc w:val="both"/>
        <w:rPr>
          <w:rFonts w:ascii="Arial" w:hAnsi="Arial" w:cs="Arial"/>
          <w:b/>
          <w:color w:val="000000"/>
        </w:rPr>
      </w:pPr>
      <w:r w:rsidRPr="005B71A3">
        <w:rPr>
          <w:rFonts w:ascii="Arial" w:hAnsi="Arial" w:cs="Arial"/>
          <w:b/>
          <w:color w:val="000000"/>
        </w:rPr>
        <w:t>Reg. SENASA:</w:t>
      </w:r>
    </w:p>
    <w:p w14:paraId="392107D5" w14:textId="77777777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</w:rPr>
      </w:pPr>
      <w:r w:rsidRPr="00BC2567">
        <w:rPr>
          <w:rFonts w:ascii="Arial" w:hAnsi="Arial" w:cs="Arial"/>
          <w:color w:val="000000"/>
        </w:rPr>
        <w:t>Bravecto 112.5/5.6 mg - F.54.33.I.0277</w:t>
      </w:r>
    </w:p>
    <w:p w14:paraId="43363F82" w14:textId="77777777" w:rsidR="00BC2567" w:rsidRPr="00BC2567" w:rsidRDefault="00BC2567" w:rsidP="00BC2567">
      <w:pPr>
        <w:ind w:left="360"/>
        <w:jc w:val="both"/>
        <w:rPr>
          <w:rFonts w:ascii="Arial" w:hAnsi="Arial" w:cs="Arial"/>
          <w:color w:val="000000"/>
        </w:rPr>
      </w:pPr>
      <w:r w:rsidRPr="00BC2567">
        <w:rPr>
          <w:rFonts w:ascii="Arial" w:hAnsi="Arial" w:cs="Arial"/>
          <w:color w:val="000000"/>
        </w:rPr>
        <w:t>Bravecto 250/12.5 mg - F.54.33.I.0278</w:t>
      </w:r>
    </w:p>
    <w:p w14:paraId="1D0BCF51" w14:textId="77777777" w:rsidR="00D036BE" w:rsidRPr="005B71A3" w:rsidRDefault="00BC2567" w:rsidP="00BC2567">
      <w:pPr>
        <w:ind w:left="360"/>
        <w:jc w:val="both"/>
        <w:rPr>
          <w:rFonts w:ascii="Arial" w:hAnsi="Arial" w:cs="Arial"/>
          <w:color w:val="000000"/>
        </w:rPr>
      </w:pPr>
      <w:r w:rsidRPr="005B71A3">
        <w:rPr>
          <w:rFonts w:ascii="Arial" w:hAnsi="Arial" w:cs="Arial"/>
          <w:color w:val="000000"/>
        </w:rPr>
        <w:t>Bravecto 500/25 mg - F.54.33.I.0279</w:t>
      </w:r>
    </w:p>
    <w:p w14:paraId="1DC36A0B" w14:textId="77777777" w:rsidR="00D036BE" w:rsidRPr="005B71A3" w:rsidRDefault="00D036BE" w:rsidP="00BC2567">
      <w:pPr>
        <w:ind w:left="360"/>
        <w:jc w:val="both"/>
        <w:rPr>
          <w:rFonts w:ascii="Arial" w:hAnsi="Arial" w:cs="Arial"/>
          <w:color w:val="000000"/>
        </w:rPr>
      </w:pPr>
    </w:p>
    <w:sectPr w:rsidR="00D036BE" w:rsidRPr="005B71A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330AC" w14:textId="77777777" w:rsidR="00BF31DC" w:rsidRDefault="00BF31DC" w:rsidP="00E13D36">
      <w:r>
        <w:separator/>
      </w:r>
    </w:p>
  </w:endnote>
  <w:endnote w:type="continuationSeparator" w:id="0">
    <w:p w14:paraId="6BF330AD" w14:textId="77777777" w:rsidR="00BF31DC" w:rsidRDefault="00BF31DC" w:rsidP="00E13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LTStd-Bold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LTStd-Light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330B8" w14:textId="67C066FC" w:rsidR="00247510" w:rsidRDefault="00634621" w:rsidP="00634621">
    <w:pPr>
      <w:pStyle w:val="Footer"/>
      <w:tabs>
        <w:tab w:val="left" w:pos="8475"/>
      </w:tabs>
    </w:pPr>
    <w:r>
      <w:tab/>
    </w:r>
    <w:sdt>
      <w:sdtPr>
        <w:id w:val="-591937067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247510">
              <w:t xml:space="preserve">Página </w:t>
            </w:r>
            <w:r w:rsidR="00247510">
              <w:rPr>
                <w:b/>
                <w:bCs/>
              </w:rPr>
              <w:fldChar w:fldCharType="begin"/>
            </w:r>
            <w:r w:rsidR="00247510">
              <w:rPr>
                <w:b/>
                <w:bCs/>
              </w:rPr>
              <w:instrText xml:space="preserve"> PAGE </w:instrText>
            </w:r>
            <w:r w:rsidR="00247510">
              <w:rPr>
                <w:b/>
                <w:bCs/>
              </w:rPr>
              <w:fldChar w:fldCharType="separate"/>
            </w:r>
            <w:r w:rsidR="00A2049C">
              <w:rPr>
                <w:b/>
                <w:bCs/>
                <w:noProof/>
              </w:rPr>
              <w:t>5</w:t>
            </w:r>
            <w:r w:rsidR="00247510">
              <w:rPr>
                <w:b/>
                <w:bCs/>
              </w:rPr>
              <w:fldChar w:fldCharType="end"/>
            </w:r>
            <w:r w:rsidR="00247510">
              <w:t xml:space="preserve"> de </w:t>
            </w:r>
            <w:r w:rsidR="00247510">
              <w:rPr>
                <w:b/>
                <w:bCs/>
              </w:rPr>
              <w:fldChar w:fldCharType="begin"/>
            </w:r>
            <w:r w:rsidR="00247510">
              <w:rPr>
                <w:b/>
                <w:bCs/>
              </w:rPr>
              <w:instrText xml:space="preserve"> NUMPAGES  </w:instrText>
            </w:r>
            <w:r w:rsidR="00247510">
              <w:rPr>
                <w:b/>
                <w:bCs/>
              </w:rPr>
              <w:fldChar w:fldCharType="separate"/>
            </w:r>
            <w:r w:rsidR="00A2049C">
              <w:rPr>
                <w:b/>
                <w:bCs/>
                <w:noProof/>
              </w:rPr>
              <w:t>5</w:t>
            </w:r>
            <w:r w:rsidR="00247510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             </w:t>
            </w:r>
            <w:r w:rsidRPr="00634621">
              <w:rPr>
                <w:bCs/>
              </w:rPr>
              <w:t xml:space="preserve">Revisado: </w:t>
            </w:r>
            <w:r w:rsidR="005B71A3">
              <w:rPr>
                <w:bCs/>
              </w:rPr>
              <w:t>09</w:t>
            </w:r>
            <w:r w:rsidRPr="00634621">
              <w:rPr>
                <w:bCs/>
              </w:rPr>
              <w:t>/</w:t>
            </w:r>
            <w:r w:rsidR="005B71A3">
              <w:rPr>
                <w:bCs/>
              </w:rPr>
              <w:t>08</w:t>
            </w:r>
            <w:r w:rsidRPr="00634621">
              <w:rPr>
                <w:bCs/>
              </w:rPr>
              <w:t>/</w:t>
            </w:r>
            <w:r w:rsidR="005B71A3">
              <w:rPr>
                <w:bCs/>
              </w:rPr>
              <w:t>23</w:t>
            </w:r>
            <w:r w:rsidRPr="00634621">
              <w:rPr>
                <w:bCs/>
              </w:rPr>
              <w:t>.</w:t>
            </w:r>
          </w:sdtContent>
        </w:sdt>
      </w:sdtContent>
    </w:sdt>
    <w:r>
      <w:tab/>
    </w:r>
  </w:p>
  <w:p w14:paraId="6BF330B9" w14:textId="15D509D4" w:rsidR="00247510" w:rsidRDefault="001C5C38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E6C2AA" wp14:editId="48BE4607">
          <wp:simplePos x="0" y="0"/>
          <wp:positionH relativeFrom="margin">
            <wp:align>left</wp:align>
          </wp:positionH>
          <wp:positionV relativeFrom="bottomMargin">
            <wp:posOffset>63500</wp:posOffset>
          </wp:positionV>
          <wp:extent cx="792480" cy="325755"/>
          <wp:effectExtent l="0" t="0" r="7620" b="0"/>
          <wp:wrapNone/>
          <wp:docPr id="3" name="bjCLFRImagePrimFooter" descr="bjCLFRImagePrimFoot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330AA" w14:textId="77777777" w:rsidR="00BF31DC" w:rsidRDefault="00BF31DC" w:rsidP="00E13D36">
      <w:r>
        <w:separator/>
      </w:r>
    </w:p>
  </w:footnote>
  <w:footnote w:type="continuationSeparator" w:id="0">
    <w:p w14:paraId="6BF330AB" w14:textId="77777777" w:rsidR="00BF31DC" w:rsidRDefault="00BF31DC" w:rsidP="00E13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2B8E3" w14:textId="77777777" w:rsidR="00E53C36" w:rsidRPr="005E61C2" w:rsidRDefault="009C55E3" w:rsidP="00E53C36">
    <w:pPr>
      <w:autoSpaceDE w:val="0"/>
      <w:autoSpaceDN w:val="0"/>
      <w:adjustRightInd w:val="0"/>
      <w:jc w:val="right"/>
      <w:rPr>
        <w:rFonts w:ascii="UniversLTStd-BoldCn" w:hAnsi="UniversLTStd-BoldCn" w:cs="UniversLTStd-BoldCn"/>
        <w:b/>
        <w:bCs/>
        <w:sz w:val="16"/>
        <w:szCs w:val="18"/>
        <w:lang w:val="es-PE"/>
      </w:rPr>
    </w:pPr>
    <w:r>
      <w:rPr>
        <w:rFonts w:ascii="UniversLTStd-BoldCn" w:hAnsi="UniversLTStd-BoldCn" w:cs="UniversLTStd-BoldCn"/>
        <w:b/>
        <w:bCs/>
        <w:noProof/>
        <w:sz w:val="16"/>
        <w:szCs w:val="18"/>
        <w:lang w:val="es-PE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CF05AB3" wp14:editId="15BE2FB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2" name="MSIPCMed96401d89e3c23f0618745c" descr="{&quot;HashCode&quot;:1468442394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5613C7" w14:textId="3D68D022" w:rsidR="009C55E3" w:rsidRPr="009C55E3" w:rsidRDefault="009C55E3" w:rsidP="009C55E3">
                          <w:pPr>
                            <w:rPr>
                              <w:rFonts w:ascii="Calibri" w:hAnsi="Calibri" w:cs="Calibri"/>
                              <w:color w:val="00B294"/>
                            </w:rPr>
                          </w:pPr>
                          <w:r w:rsidRPr="009C55E3">
                            <w:rPr>
                              <w:rFonts w:ascii="Calibri" w:hAnsi="Calibri" w:cs="Calibri"/>
                              <w:color w:val="00B294"/>
                            </w:rPr>
                            <w:t>Proprietary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F05AB3" id="_x0000_t202" coordsize="21600,21600" o:spt="202" path="m,l,21600r21600,l21600,xe">
              <v:stroke joinstyle="miter"/>
              <v:path gradientshapeok="t" o:connecttype="rect"/>
            </v:shapetype>
            <v:shape id="MSIPCMed96401d89e3c23f0618745c" o:spid="_x0000_s1026" type="#_x0000_t202" alt="{&quot;HashCode&quot;:1468442394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YJI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" o:allowincell="f" filled="f" stroked="f" strokeweight=".5pt">
              <v:textbox inset="20pt,0,,0">
                <w:txbxContent>
                  <w:p w14:paraId="725613C7" w14:textId="3D68D022" w:rsidR="009C55E3" w:rsidRPr="009C55E3" w:rsidRDefault="009C55E3" w:rsidP="009C55E3">
                    <w:pPr>
                      <w:rPr>
                        <w:rFonts w:ascii="Calibri" w:hAnsi="Calibri" w:cs="Calibri"/>
                        <w:color w:val="00B294"/>
                      </w:rPr>
                    </w:pPr>
                    <w:r w:rsidRPr="009C55E3">
                      <w:rPr>
                        <w:rFonts w:ascii="Calibri" w:hAnsi="Calibri" w:cs="Calibri"/>
                        <w:color w:val="00B294"/>
                      </w:rPr>
                      <w:t>Proprietary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13D36">
      <w:rPr>
        <w:rFonts w:ascii="UniversLTStd-BoldCn" w:hAnsi="UniversLTStd-BoldCn" w:cs="UniversLTStd-BoldCn"/>
        <w:b/>
        <w:bCs/>
        <w:sz w:val="16"/>
        <w:szCs w:val="18"/>
        <w:lang w:val="es-PE"/>
      </w:rPr>
      <w:t xml:space="preserve">                                                                                                                </w:t>
    </w:r>
    <w:r w:rsidR="007539E6">
      <w:rPr>
        <w:rFonts w:ascii="UniversLTStd-BoldCn" w:hAnsi="UniversLTStd-BoldCn" w:cs="UniversLTStd-BoldCn"/>
        <w:b/>
        <w:bCs/>
        <w:sz w:val="16"/>
        <w:szCs w:val="18"/>
        <w:lang w:val="es-PE"/>
      </w:rPr>
      <w:t xml:space="preserve">                    </w:t>
    </w:r>
    <w:r w:rsidR="00D727A2">
      <w:rPr>
        <w:rFonts w:ascii="UniversLTStd-BoldCn" w:hAnsi="UniversLTStd-BoldCn" w:cs="UniversLTStd-BoldCn"/>
        <w:b/>
        <w:bCs/>
        <w:sz w:val="16"/>
        <w:szCs w:val="18"/>
        <w:lang w:val="es-PE"/>
      </w:rPr>
      <w:tab/>
    </w:r>
    <w:r w:rsidR="00D727A2">
      <w:rPr>
        <w:rFonts w:ascii="UniversLTStd-BoldCn" w:hAnsi="UniversLTStd-BoldCn" w:cs="UniversLTStd-BoldCn"/>
        <w:b/>
        <w:bCs/>
        <w:sz w:val="16"/>
        <w:szCs w:val="18"/>
        <w:lang w:val="es-PE"/>
      </w:rPr>
      <w:tab/>
    </w:r>
    <w:r w:rsidR="00D727A2">
      <w:rPr>
        <w:rFonts w:ascii="UniversLTStd-BoldCn" w:hAnsi="UniversLTStd-BoldCn" w:cs="UniversLTStd-BoldCn"/>
        <w:b/>
        <w:bCs/>
        <w:sz w:val="16"/>
        <w:szCs w:val="18"/>
        <w:lang w:val="es-PE"/>
      </w:rPr>
      <w:tab/>
    </w:r>
    <w:r w:rsidR="00E53C36">
      <w:rPr>
        <w:rFonts w:ascii="UniversLTStd-BoldCn" w:hAnsi="UniversLTStd-BoldCn" w:cs="UniversLTStd-BoldCn"/>
        <w:b/>
        <w:bCs/>
        <w:sz w:val="16"/>
        <w:szCs w:val="18"/>
        <w:lang w:val="es-PE"/>
      </w:rPr>
      <w:t>MSD Salud Animal Perú S.A</w:t>
    </w:r>
  </w:p>
  <w:p w14:paraId="222BCA3D" w14:textId="77777777" w:rsidR="00E53C36" w:rsidRDefault="00E53C36" w:rsidP="00E53C36">
    <w:pPr>
      <w:autoSpaceDE w:val="0"/>
      <w:autoSpaceDN w:val="0"/>
      <w:adjustRightInd w:val="0"/>
      <w:ind w:left="5760"/>
      <w:jc w:val="right"/>
      <w:rPr>
        <w:rFonts w:ascii="UniversLTStd-LightCn" w:hAnsi="UniversLTStd-LightCn" w:cs="UniversLTStd-LightCn"/>
        <w:sz w:val="16"/>
        <w:szCs w:val="18"/>
        <w:lang w:val="es-PE"/>
      </w:rPr>
    </w:pPr>
    <w:r w:rsidRPr="005E61C2">
      <w:rPr>
        <w:rFonts w:ascii="UniversLTStd-LightCn" w:hAnsi="UniversLTStd-LightCn" w:cs="UniversLTStd-LightCn"/>
        <w:sz w:val="16"/>
        <w:szCs w:val="18"/>
        <w:lang w:val="es-PE"/>
      </w:rPr>
      <w:t xml:space="preserve">Av. </w:t>
    </w:r>
    <w:r>
      <w:rPr>
        <w:rFonts w:ascii="UniversLTStd-LightCn" w:hAnsi="UniversLTStd-LightCn" w:cs="UniversLTStd-LightCn"/>
        <w:sz w:val="16"/>
        <w:szCs w:val="18"/>
        <w:lang w:val="es-PE"/>
      </w:rPr>
      <w:t>Andrés Reyes 338,</w:t>
    </w:r>
  </w:p>
  <w:p w14:paraId="04FA3D9C" w14:textId="77777777" w:rsidR="00E53C36" w:rsidRPr="005E61C2" w:rsidRDefault="00E53C36" w:rsidP="00E53C36">
    <w:pPr>
      <w:autoSpaceDE w:val="0"/>
      <w:autoSpaceDN w:val="0"/>
      <w:adjustRightInd w:val="0"/>
      <w:ind w:left="5760"/>
      <w:jc w:val="right"/>
      <w:rPr>
        <w:rFonts w:ascii="UniversLTStd-LightCn" w:hAnsi="UniversLTStd-LightCn" w:cs="UniversLTStd-LightCn"/>
        <w:sz w:val="16"/>
        <w:szCs w:val="18"/>
        <w:lang w:val="es-PE"/>
      </w:rPr>
    </w:pPr>
    <w:r>
      <w:rPr>
        <w:rFonts w:ascii="UniversLTStd-LightCn" w:hAnsi="UniversLTStd-LightCn" w:cs="UniversLTStd-LightCn"/>
        <w:sz w:val="16"/>
        <w:szCs w:val="18"/>
        <w:lang w:val="es-PE"/>
      </w:rPr>
      <w:t>San Isidro, Lima 15046</w:t>
    </w:r>
  </w:p>
  <w:p w14:paraId="0F1A4D09" w14:textId="77777777" w:rsidR="00E53C36" w:rsidRPr="00E53C36" w:rsidRDefault="00E53C36" w:rsidP="00E53C36">
    <w:pPr>
      <w:autoSpaceDE w:val="0"/>
      <w:autoSpaceDN w:val="0"/>
      <w:adjustRightInd w:val="0"/>
      <w:ind w:left="5760" w:firstLine="720"/>
      <w:jc w:val="right"/>
      <w:rPr>
        <w:rFonts w:ascii="UniversLTStd-LightCn" w:hAnsi="UniversLTStd-LightCn" w:cs="UniversLTStd-LightCn"/>
        <w:sz w:val="16"/>
        <w:szCs w:val="18"/>
      </w:rPr>
    </w:pPr>
    <w:r w:rsidRPr="00E53C36">
      <w:rPr>
        <w:rFonts w:ascii="UniversLTStd-LightCn" w:hAnsi="UniversLTStd-LightCn" w:cs="UniversLTStd-LightCn"/>
        <w:sz w:val="16"/>
        <w:szCs w:val="18"/>
      </w:rPr>
      <w:t>T +51 1 411 5100</w:t>
    </w:r>
  </w:p>
  <w:p w14:paraId="7F0A110E" w14:textId="77777777" w:rsidR="00E53C36" w:rsidRPr="00E53C36" w:rsidRDefault="00E53C36" w:rsidP="00E53C36">
    <w:pPr>
      <w:pStyle w:val="Header"/>
      <w:jc w:val="right"/>
      <w:rPr>
        <w:rFonts w:ascii="UniversLTStd-LightCn" w:hAnsi="UniversLTStd-LightCn" w:cs="UniversLTStd-LightCn"/>
        <w:sz w:val="16"/>
        <w:szCs w:val="18"/>
      </w:rPr>
    </w:pPr>
    <w:hyperlink r:id="rId1" w:history="1">
      <w:r w:rsidRPr="00E53C36">
        <w:rPr>
          <w:rStyle w:val="Hyperlink"/>
          <w:rFonts w:ascii="UniversLTStd-LightCn" w:hAnsi="UniversLTStd-LightCn" w:cs="UniversLTStd-LightCn"/>
          <w:sz w:val="16"/>
          <w:szCs w:val="18"/>
        </w:rPr>
        <w:t>www.msd-animal-health.com</w:t>
      </w:r>
    </w:hyperlink>
    <w:r w:rsidRPr="00E53C36">
      <w:rPr>
        <w:rStyle w:val="Hyperlink"/>
        <w:rFonts w:ascii="UniversLTStd-LightCn" w:hAnsi="UniversLTStd-LightCn" w:cs="UniversLTStd-LightCn"/>
        <w:sz w:val="16"/>
        <w:szCs w:val="18"/>
      </w:rPr>
      <w:t>.pe</w:t>
    </w:r>
  </w:p>
  <w:p w14:paraId="6BF330B6" w14:textId="403D4E88" w:rsidR="00E13D36" w:rsidRPr="00D76D74" w:rsidRDefault="00E13D36" w:rsidP="00E53C36">
    <w:pPr>
      <w:autoSpaceDE w:val="0"/>
      <w:autoSpaceDN w:val="0"/>
      <w:adjustRightInd w:val="0"/>
      <w:jc w:val="center"/>
      <w:rPr>
        <w:rFonts w:ascii="UniversLTStd-LightCn" w:hAnsi="UniversLTStd-LightCn" w:cs="UniversLTStd-LightCn"/>
        <w:sz w:val="16"/>
        <w:szCs w:val="18"/>
      </w:rPr>
    </w:pPr>
    <w:r>
      <w:rPr>
        <w:noProof/>
        <w:lang w:val="es-PE" w:eastAsia="es-PE"/>
      </w:rPr>
      <mc:AlternateContent>
        <mc:Choice Requires="wpc">
          <w:drawing>
            <wp:inline distT="0" distB="0" distL="0" distR="0" wp14:anchorId="6BF330BC" wp14:editId="6BF330BD">
              <wp:extent cx="1543050" cy="628650"/>
              <wp:effectExtent l="0" t="0" r="0" b="0"/>
              <wp:docPr id="1" name="Canv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8130" cy="633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2E1EE810" id="Canvas 1" o:spid="_x0000_s1026" editas="canvas" style="width:121.5pt;height:49.5pt;mso-position-horizontal-relative:char;mso-position-vertical-relative:line" coordsize="15430,6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5430;height:6286;visibility:visible;mso-wrap-style:square">
                <v:fill o:detectmouseclick="t"/>
                <v:path o:connecttype="none"/>
              </v:shape>
              <v:shape id="Picture 4" o:spid="_x0000_s1028" type="#_x0000_t75" style="position:absolute;width:15481;height:6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">
                <v:imagedata r:id="rId3" o:title=""/>
              </v:shape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36"/>
    <w:rsid w:val="00063007"/>
    <w:rsid w:val="00091909"/>
    <w:rsid w:val="00121CAA"/>
    <w:rsid w:val="00156EA0"/>
    <w:rsid w:val="00173BB0"/>
    <w:rsid w:val="001A0D22"/>
    <w:rsid w:val="001C5C38"/>
    <w:rsid w:val="00205898"/>
    <w:rsid w:val="00213BDB"/>
    <w:rsid w:val="0021501B"/>
    <w:rsid w:val="0022095A"/>
    <w:rsid w:val="00247510"/>
    <w:rsid w:val="002717B7"/>
    <w:rsid w:val="002C445B"/>
    <w:rsid w:val="002D0400"/>
    <w:rsid w:val="003026DC"/>
    <w:rsid w:val="003139FF"/>
    <w:rsid w:val="00315537"/>
    <w:rsid w:val="00351F84"/>
    <w:rsid w:val="00383201"/>
    <w:rsid w:val="00452BE0"/>
    <w:rsid w:val="00485422"/>
    <w:rsid w:val="00507E5B"/>
    <w:rsid w:val="0053326A"/>
    <w:rsid w:val="0054388C"/>
    <w:rsid w:val="005821DB"/>
    <w:rsid w:val="005B71A3"/>
    <w:rsid w:val="005C7475"/>
    <w:rsid w:val="00634621"/>
    <w:rsid w:val="006D19D3"/>
    <w:rsid w:val="00701267"/>
    <w:rsid w:val="0074727B"/>
    <w:rsid w:val="007539E6"/>
    <w:rsid w:val="007A4226"/>
    <w:rsid w:val="007A4348"/>
    <w:rsid w:val="007A6FD1"/>
    <w:rsid w:val="007E0C2D"/>
    <w:rsid w:val="007F051B"/>
    <w:rsid w:val="008137A0"/>
    <w:rsid w:val="008B0EAC"/>
    <w:rsid w:val="008B4D8B"/>
    <w:rsid w:val="008D4769"/>
    <w:rsid w:val="0090799D"/>
    <w:rsid w:val="00942EFF"/>
    <w:rsid w:val="0097632A"/>
    <w:rsid w:val="009C55E3"/>
    <w:rsid w:val="00A06882"/>
    <w:rsid w:val="00A16D84"/>
    <w:rsid w:val="00A2049C"/>
    <w:rsid w:val="00A508CD"/>
    <w:rsid w:val="00AA1B92"/>
    <w:rsid w:val="00B00162"/>
    <w:rsid w:val="00B46A60"/>
    <w:rsid w:val="00B75B66"/>
    <w:rsid w:val="00BC2567"/>
    <w:rsid w:val="00BF31DC"/>
    <w:rsid w:val="00BF41D3"/>
    <w:rsid w:val="00CD5771"/>
    <w:rsid w:val="00CE2898"/>
    <w:rsid w:val="00CF51B0"/>
    <w:rsid w:val="00D036BE"/>
    <w:rsid w:val="00D149FE"/>
    <w:rsid w:val="00D21D22"/>
    <w:rsid w:val="00D40FEF"/>
    <w:rsid w:val="00D727A2"/>
    <w:rsid w:val="00D76D74"/>
    <w:rsid w:val="00DA3456"/>
    <w:rsid w:val="00DE740D"/>
    <w:rsid w:val="00E13D36"/>
    <w:rsid w:val="00E21319"/>
    <w:rsid w:val="00E53C36"/>
    <w:rsid w:val="00E57802"/>
    <w:rsid w:val="00FD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6BF32FE1"/>
  <w15:docId w15:val="{A72F4204-7A9F-4B3F-A70F-64DAA9FE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3D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D3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E13D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D3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rsid w:val="00E13D36"/>
    <w:rPr>
      <w:color w:val="0000FF"/>
      <w:u w:val="single"/>
    </w:rPr>
  </w:style>
  <w:style w:type="paragraph" w:styleId="NormalWeb">
    <w:name w:val="Normal (Web)"/>
    <w:basedOn w:val="Normal"/>
    <w:rsid w:val="00485422"/>
    <w:pPr>
      <w:spacing w:before="100" w:beforeAutospacing="1" w:after="100" w:afterAutospacing="1"/>
    </w:pPr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40D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hyperlink" Target="http://www.msd-animal-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userSelected">
  <element uid="id_classification_euconfidential" value=""/>
  <element uid="cefbaa69-3bfa-4b56-8d22-6839cb7b06d0" value=""/>
</sis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2B6CE80F3B54D841BCAF1A3563C07" ma:contentTypeVersion="18" ma:contentTypeDescription="Crear nuevo documento." ma:contentTypeScope="" ma:versionID="3ed73c09ceb0bdeb4bc0e08a21e8329d">
  <xsd:schema xmlns:xsd="http://www.w3.org/2001/XMLSchema" xmlns:xs="http://www.w3.org/2001/XMLSchema" xmlns:p="http://schemas.microsoft.com/office/2006/metadata/properties" xmlns:ns2="92f7c4c8-9063-41ef-9ab3-be9cc9d66bf8" xmlns:ns3="e4bf6ceb-ff54-4cd5-89b3-4866fdb79b26" targetNamespace="http://schemas.microsoft.com/office/2006/metadata/properties" ma:root="true" ma:fieldsID="93feb379119fb96851f500df4c2e0923" ns2:_="" ns3:_="">
    <xsd:import namespace="92f7c4c8-9063-41ef-9ab3-be9cc9d66bf8"/>
    <xsd:import namespace="e4bf6ceb-ff54-4cd5-89b3-4866fdb79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7c4c8-9063-41ef-9ab3-be9cc9d66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098c99f-65cf-46b6-ac1b-0a4414f86d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f6ceb-ff54-4cd5-89b3-4866fdb79b2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75e84c-57ba-4f97-9dd4-b40166d7415e}" ma:internalName="TaxCatchAll" ma:showField="CatchAllData" ma:web="e4bf6ceb-ff54-4cd5-89b3-4866fdb79b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f7c4c8-9063-41ef-9ab3-be9cc9d66bf8">
      <Terms xmlns="http://schemas.microsoft.com/office/infopath/2007/PartnerControls"/>
    </lcf76f155ced4ddcb4097134ff3c332f>
    <TaxCatchAll xmlns="e4bf6ceb-ff54-4cd5-89b3-4866fdb79b26" xsi:nil="true"/>
  </documentManagement>
</p:properties>
</file>

<file path=customXml/itemProps1.xml><?xml version="1.0" encoding="utf-8"?>
<ds:datastoreItem xmlns:ds="http://schemas.openxmlformats.org/officeDocument/2006/customXml" ds:itemID="{A1991208-EFAF-48EA-9A41-17847D98A71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1A4D528-1BFA-48AB-8C04-41E4C8D97152}"/>
</file>

<file path=customXml/itemProps3.xml><?xml version="1.0" encoding="utf-8"?>
<ds:datastoreItem xmlns:ds="http://schemas.openxmlformats.org/officeDocument/2006/customXml" ds:itemID="{E679E80B-C5E5-45DE-BD29-8FD3845C93D2}"/>
</file>

<file path=customXml/itemProps4.xml><?xml version="1.0" encoding="utf-8"?>
<ds:datastoreItem xmlns:ds="http://schemas.openxmlformats.org/officeDocument/2006/customXml" ds:itemID="{4F25CB75-E58B-44A3-904C-8848BDF586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1911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Merck</Company>
  <LinksUpToDate>false</LinksUpToDate>
  <CharactersWithSpaces>12399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Merck &amp; Co., Inc.</dc:creator>
  <cp:lastModifiedBy>Marquina, Claudia Ximena</cp:lastModifiedBy>
  <cp:revision>4</cp:revision>
  <dcterms:created xsi:type="dcterms:W3CDTF">2023-08-03T22:13:00Z</dcterms:created>
  <dcterms:modified xsi:type="dcterms:W3CDTF">2023-08-09T20:41:00Z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6db8874b-42de-4339-b932-7fccf0a38225</vt:lpwstr>
  </property>
  <property fmtid="{D5CDD505-2E9C-101B-9397-08002B2CF9AE}" pid="3" name="bjSaver">
    <vt:lpwstr>+a8W3fg/+CB6bGNVO+I3mwfF2jIx/Knz</vt:lpwstr>
  </property>
  <property fmtid="{D5CDD505-2E9C-101B-9397-08002B2CF9AE}" pid="4" name="bjDocumentSecurityLabel">
    <vt:lpwstr>Proprietary</vt:lpwstr>
  </property>
  <property fmtid="{D5CDD505-2E9C-101B-9397-08002B2CF9AE}" pid="5" name="MerckMetadataExchange">
    <vt:lpwstr>!$MRK@Proprietary-Footer-Left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policy="a10f9ac0-5937-4b4f-b459-96aedd9ed2c5" origin="userSelected" xmlns="http://www.boldonj</vt:lpwstr>
  </property>
  <property fmtid="{D5CDD505-2E9C-101B-9397-08002B2CF9AE}" pid="7" name="bjDocumentLabelXML-0">
    <vt:lpwstr>ames.com/2008/01/sie/internal/label"&gt;&lt;element uid="id_classification_euconfidential" value="" /&gt;&lt;element uid="cefbaa69-3bfa-4b56-8d22-6839cb7b06d0" value="" /&gt;&lt;/sisl&gt;</vt:lpwstr>
  </property>
  <property fmtid="{D5CDD505-2E9C-101B-9397-08002B2CF9AE}" pid="8" name="_AdHocReviewCycleID">
    <vt:i4>1271580877</vt:i4>
  </property>
  <property fmtid="{D5CDD505-2E9C-101B-9397-08002B2CF9AE}" pid="9" name="_NewReviewCycle">
    <vt:lpwstr/>
  </property>
  <property fmtid="{D5CDD505-2E9C-101B-9397-08002B2CF9AE}" pid="10" name="_EmailSubject">
    <vt:lpwstr>Fichas técnicas</vt:lpwstr>
  </property>
  <property fmtid="{D5CDD505-2E9C-101B-9397-08002B2CF9AE}" pid="11" name="_AuthorEmail">
    <vt:lpwstr>silvia.esther.panta@merck.com</vt:lpwstr>
  </property>
  <property fmtid="{D5CDD505-2E9C-101B-9397-08002B2CF9AE}" pid="12" name="_AuthorEmailDisplayName">
    <vt:lpwstr>Panta, Silvia Esther</vt:lpwstr>
  </property>
  <property fmtid="{D5CDD505-2E9C-101B-9397-08002B2CF9AE}" pid="13" name="_PreviousAdHocReviewCycleID">
    <vt:i4>510968209</vt:i4>
  </property>
  <property fmtid="{D5CDD505-2E9C-101B-9397-08002B2CF9AE}" pid="14" name="_ReviewingToolsShownOnce">
    <vt:lpwstr/>
  </property>
  <property fmtid="{D5CDD505-2E9C-101B-9397-08002B2CF9AE}" pid="15" name="ContentTypeId">
    <vt:lpwstr>0x010100F2E2B6CE80F3B54D841BCAF1A3563C07</vt:lpwstr>
  </property>
</Properties>
</file>